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525" w:lineRule="atLeast"/>
        <w:jc w:val="center"/>
        <w:rPr>
          <w:rFonts w:hint="eastAsia"/>
          <w:color w:val="030303"/>
          <w:sz w:val="32"/>
          <w:szCs w:val="32"/>
          <w:shd w:val="clear" w:color="auto" w:fill="FFFFFF"/>
          <w:lang w:eastAsia="zh-CN"/>
        </w:rPr>
      </w:pPr>
      <w:r>
        <w:rPr>
          <w:rFonts w:hint="eastAsia"/>
          <w:color w:val="030303"/>
          <w:sz w:val="32"/>
          <w:szCs w:val="32"/>
          <w:shd w:val="clear" w:color="auto" w:fill="FFFFFF"/>
          <w:lang w:eastAsia="zh-CN"/>
        </w:rPr>
        <w:t>宁国市永祥电力工程技术有限公司</w:t>
      </w:r>
    </w:p>
    <w:p>
      <w:pPr>
        <w:pStyle w:val="2"/>
        <w:widowControl/>
        <w:spacing w:beforeAutospacing="0" w:afterAutospacing="0" w:line="525" w:lineRule="atLeast"/>
        <w:jc w:val="center"/>
        <w:rPr>
          <w:color w:val="030303"/>
          <w:sz w:val="32"/>
          <w:szCs w:val="32"/>
          <w:shd w:val="clear" w:color="auto" w:fill="FFFFFF"/>
        </w:rPr>
      </w:pPr>
      <w:r>
        <w:rPr>
          <w:color w:val="030303"/>
          <w:sz w:val="32"/>
          <w:szCs w:val="32"/>
          <w:shd w:val="clear" w:color="auto" w:fill="FFFFFF"/>
        </w:rPr>
        <w:t>智慧能源管理平台项目</w:t>
      </w:r>
    </w:p>
    <w:p>
      <w:pPr>
        <w:pStyle w:val="2"/>
        <w:widowControl/>
        <w:spacing w:beforeAutospacing="0" w:afterAutospacing="0" w:line="525" w:lineRule="atLeast"/>
        <w:jc w:val="center"/>
        <w:rPr>
          <w:rFonts w:hint="default" w:ascii="微软雅黑" w:hAnsi="微软雅黑" w:eastAsia="微软雅黑" w:cs="微软雅黑"/>
          <w:color w:val="030303"/>
          <w:sz w:val="21"/>
          <w:szCs w:val="21"/>
          <w:shd w:val="clear" w:color="auto" w:fill="FFFFFF"/>
        </w:rPr>
      </w:pPr>
      <w:r>
        <w:rPr>
          <w:color w:val="030303"/>
          <w:sz w:val="32"/>
          <w:szCs w:val="32"/>
          <w:shd w:val="clear" w:color="auto" w:fill="FFFFFF"/>
        </w:rPr>
        <w:t>招标公告</w:t>
      </w:r>
    </w:p>
    <w:p>
      <w:pPr>
        <w:pStyle w:val="7"/>
        <w:widowControl/>
        <w:spacing w:beforeAutospacing="0" w:afterAutospacing="0" w:line="360" w:lineRule="auto"/>
        <w:ind w:firstLine="480" w:firstLineChars="200"/>
        <w:rPr>
          <w:rFonts w:cs="微软雅黑" w:asciiTheme="minorEastAsia" w:hAnsiTheme="minorEastAsia"/>
          <w:color w:val="030303"/>
          <w:shd w:val="clear" w:color="auto" w:fill="FFFFFF"/>
        </w:rPr>
      </w:pPr>
      <w:r>
        <w:rPr>
          <w:rFonts w:hint="eastAsia" w:cs="微软雅黑" w:asciiTheme="minorEastAsia" w:hAnsiTheme="minorEastAsia"/>
          <w:color w:val="030303"/>
          <w:shd w:val="clear" w:color="auto" w:fill="FFFFFF"/>
        </w:rPr>
        <w:t>根据相关法律法规等有关规定，</w:t>
      </w:r>
      <w:r>
        <w:rPr>
          <w:rFonts w:hint="eastAsia" w:cs="微软雅黑" w:asciiTheme="minorEastAsia" w:hAnsiTheme="minorEastAsia"/>
          <w:color w:val="030303"/>
          <w:shd w:val="clear" w:color="auto" w:fill="FFFFFF"/>
          <w:lang w:eastAsia="zh-CN"/>
        </w:rPr>
        <w:t>宁国市永祥电力工程技术有限公司</w:t>
      </w:r>
      <w:r>
        <w:rPr>
          <w:rFonts w:hint="eastAsia" w:cs="微软雅黑" w:asciiTheme="minorEastAsia" w:hAnsiTheme="minorEastAsia"/>
          <w:color w:val="030303"/>
          <w:shd w:val="clear" w:color="auto" w:fill="FFFFFF"/>
        </w:rPr>
        <w:t>就智慧能源管理平台项目进行公开招标，欢迎国内合格的供应商前来投标。</w:t>
      </w:r>
    </w:p>
    <w:p>
      <w:pPr>
        <w:pStyle w:val="14"/>
        <w:spacing w:before="156" w:beforeLines="50" w:after="156" w:afterLines="50" w:line="360" w:lineRule="auto"/>
        <w:jc w:val="both"/>
        <w:outlineLvl w:val="0"/>
        <w:rPr>
          <w:rFonts w:eastAsia="PMingLiU"/>
          <w:b/>
          <w:sz w:val="24"/>
          <w:szCs w:val="24"/>
        </w:rPr>
      </w:pPr>
      <w:r>
        <w:rPr>
          <w:rFonts w:hint="eastAsia"/>
          <w:b/>
          <w:sz w:val="24"/>
          <w:szCs w:val="24"/>
          <w:lang w:val="en-US" w:eastAsia="zh-CN" w:bidi="en-US"/>
        </w:rPr>
        <w:t>—</w:t>
      </w:r>
      <w:r>
        <w:rPr>
          <w:rFonts w:hint="eastAsia"/>
          <w:b/>
          <w:sz w:val="24"/>
          <w:szCs w:val="24"/>
        </w:rPr>
        <w:t>、项目基本情况</w:t>
      </w:r>
    </w:p>
    <w:p>
      <w:pPr>
        <w:pStyle w:val="7"/>
        <w:widowControl/>
        <w:spacing w:beforeAutospacing="0" w:afterAutospacing="0" w:line="360" w:lineRule="auto"/>
        <w:ind w:firstLine="480" w:firstLineChars="200"/>
        <w:jc w:val="both"/>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项目名称：</w:t>
      </w:r>
      <w:r>
        <w:rPr>
          <w:rFonts w:hint="eastAsia" w:ascii="宋体" w:hAnsi="宋体" w:eastAsia="宋体" w:cs="微软雅黑"/>
          <w:color w:val="030303"/>
          <w:shd w:val="clear" w:color="auto" w:fill="FFFFFF"/>
          <w:lang w:eastAsia="zh-CN"/>
        </w:rPr>
        <w:t>宁国市永祥电力工程技术有限公司</w:t>
      </w:r>
      <w:r>
        <w:rPr>
          <w:rFonts w:hint="eastAsia" w:ascii="宋体" w:hAnsi="宋体" w:eastAsia="宋体" w:cs="微软雅黑"/>
          <w:color w:val="030303"/>
          <w:shd w:val="clear" w:color="auto" w:fill="FFFFFF"/>
        </w:rPr>
        <w:t>智慧能源管理平台项目</w:t>
      </w:r>
    </w:p>
    <w:p>
      <w:pPr>
        <w:pStyle w:val="7"/>
        <w:widowControl/>
        <w:spacing w:beforeAutospacing="0" w:afterAutospacing="0" w:line="360" w:lineRule="auto"/>
        <w:ind w:firstLine="480" w:firstLineChars="200"/>
        <w:jc w:val="both"/>
        <w:rPr>
          <w:rFonts w:hint="eastAsia" w:ascii="宋体" w:hAnsi="宋体" w:eastAsia="宋体" w:cs="微软雅黑"/>
          <w:color w:val="030303"/>
          <w:shd w:val="clear" w:color="auto" w:fill="FFFFFF"/>
          <w:lang w:val="en-US" w:eastAsia="zh-CN"/>
        </w:rPr>
      </w:pPr>
      <w:r>
        <w:rPr>
          <w:rFonts w:hint="eastAsia" w:ascii="宋体" w:hAnsi="宋体" w:eastAsia="宋体" w:cs="微软雅黑"/>
          <w:color w:val="030303"/>
          <w:shd w:val="clear" w:color="auto" w:fill="FFFFFF"/>
        </w:rPr>
        <w:t>项目编号：</w:t>
      </w:r>
      <w:r>
        <w:rPr>
          <w:rFonts w:hint="eastAsia" w:ascii="宋体" w:hAnsi="宋体" w:eastAsia="宋体" w:cs="微软雅黑"/>
          <w:color w:val="030303"/>
          <w:shd w:val="clear" w:color="auto" w:fill="FFFFFF"/>
          <w:lang w:val="en-US" w:eastAsia="zh-CN"/>
        </w:rPr>
        <w:t>/</w:t>
      </w:r>
    </w:p>
    <w:p>
      <w:pPr>
        <w:pStyle w:val="7"/>
        <w:widowControl/>
        <w:spacing w:beforeAutospacing="0" w:afterAutospacing="0" w:line="360" w:lineRule="auto"/>
        <w:ind w:firstLine="480" w:firstLineChars="200"/>
        <w:jc w:val="both"/>
        <w:rPr>
          <w:rFonts w:ascii="宋体" w:hAnsi="宋体" w:eastAsia="宋体" w:cs="微软雅黑"/>
          <w:color w:val="030303"/>
          <w:shd w:val="clear" w:color="auto" w:fill="FFFFFF"/>
        </w:rPr>
      </w:pPr>
      <w:r>
        <w:rPr>
          <w:rFonts w:ascii="宋体" w:hAnsi="宋体" w:eastAsia="宋体" w:cs="微软雅黑"/>
          <w:color w:val="030303"/>
          <w:shd w:val="clear" w:color="auto" w:fill="FFFFFF"/>
        </w:rPr>
        <w:t>最高限价：</w:t>
      </w:r>
      <w:r>
        <w:rPr>
          <w:rFonts w:hint="eastAsia" w:ascii="宋体" w:hAnsi="宋体" w:eastAsia="宋体"/>
        </w:rPr>
        <w:t>数字化电站监控服务/</w:t>
      </w:r>
      <w:r>
        <w:rPr>
          <w:rFonts w:ascii="宋体" w:hAnsi="宋体" w:eastAsia="宋体"/>
        </w:rPr>
        <w:t>数字化结算服务0.01</w:t>
      </w:r>
      <w:r>
        <w:rPr>
          <w:rFonts w:hint="eastAsia" w:ascii="宋体" w:hAnsi="宋体" w:eastAsia="宋体"/>
        </w:rPr>
        <w:t>5</w:t>
      </w:r>
      <w:r>
        <w:rPr>
          <w:rFonts w:ascii="宋体" w:hAnsi="宋体" w:eastAsia="宋体"/>
        </w:rPr>
        <w:t>元/W/年</w:t>
      </w:r>
      <w:r>
        <w:rPr>
          <w:rFonts w:hint="eastAsia" w:ascii="宋体" w:hAnsi="宋体" w:eastAsia="宋体"/>
        </w:rPr>
        <w:t>。</w:t>
      </w:r>
    </w:p>
    <w:p>
      <w:pPr>
        <w:pStyle w:val="7"/>
        <w:widowControl/>
        <w:spacing w:beforeAutospacing="0" w:afterAutospacing="0" w:line="360" w:lineRule="auto"/>
        <w:ind w:firstLine="480" w:firstLineChars="200"/>
        <w:jc w:val="both"/>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采购需求：采购设计一个智慧能源管理平台，接入分布式光伏电站数据，系统设计需满足合理性、实用性、先进性、可靠性、可扩展性、易用性、健壮性、开放性和经济性等基本原则，具备配置管理、光伏数字化监控、配套移动APP、数字化部监管、数字化结算等功能，并对存量电站进行数字化改造。详见服务要求。</w:t>
      </w:r>
    </w:p>
    <w:p>
      <w:pPr>
        <w:pStyle w:val="7"/>
        <w:widowControl/>
        <w:spacing w:beforeAutospacing="0" w:afterAutospacing="0" w:line="360" w:lineRule="auto"/>
        <w:ind w:firstLine="480" w:firstLineChars="200"/>
        <w:rPr>
          <w:rFonts w:cs="微软雅黑" w:asciiTheme="minorEastAsia" w:hAnsiTheme="minorEastAsia"/>
          <w:color w:val="030303"/>
          <w:shd w:val="clear" w:color="auto" w:fill="FFFFFF"/>
        </w:rPr>
      </w:pPr>
      <w:r>
        <w:rPr>
          <w:rFonts w:hint="eastAsia" w:cs="微软雅黑" w:asciiTheme="minorEastAsia" w:hAnsiTheme="minorEastAsia"/>
          <w:color w:val="030303"/>
          <w:shd w:val="clear" w:color="auto" w:fill="FFFFFF"/>
        </w:rPr>
        <w:t>合同履行期限：自合同签订之日起</w:t>
      </w:r>
      <w:r>
        <w:rPr>
          <w:rFonts w:hint="eastAsia" w:cs="微软雅黑" w:asciiTheme="minorEastAsia" w:hAnsiTheme="minorEastAsia"/>
          <w:color w:val="030303"/>
          <w:shd w:val="clear" w:color="auto" w:fill="FFFFFF"/>
          <w:lang w:val="en-US" w:eastAsia="zh-CN"/>
        </w:rPr>
        <w:t>1</w:t>
      </w:r>
      <w:r>
        <w:rPr>
          <w:rFonts w:hint="eastAsia" w:cs="微软雅黑" w:asciiTheme="minorEastAsia" w:hAnsiTheme="minorEastAsia"/>
          <w:color w:val="030303"/>
          <w:shd w:val="clear" w:color="auto" w:fill="FFFFFF"/>
        </w:rPr>
        <w:t>年内完成项目的服务需求及采购人的其他要求。</w:t>
      </w:r>
    </w:p>
    <w:p>
      <w:pPr>
        <w:pStyle w:val="14"/>
        <w:spacing w:before="156" w:beforeLines="50" w:after="156" w:afterLines="50" w:line="360" w:lineRule="auto"/>
        <w:jc w:val="both"/>
        <w:outlineLvl w:val="0"/>
        <w:rPr>
          <w:rFonts w:eastAsia="PMingLiU"/>
          <w:b/>
          <w:sz w:val="24"/>
          <w:szCs w:val="24"/>
        </w:rPr>
      </w:pPr>
      <w:r>
        <w:rPr>
          <w:rFonts w:hint="eastAsia"/>
          <w:b/>
          <w:sz w:val="24"/>
          <w:szCs w:val="24"/>
          <w:lang w:val="en-US" w:eastAsia="zh-CN" w:bidi="en-US"/>
        </w:rPr>
        <w:t>二</w:t>
      </w:r>
      <w:r>
        <w:rPr>
          <w:rFonts w:hint="eastAsia"/>
          <w:b/>
          <w:sz w:val="24"/>
          <w:szCs w:val="24"/>
        </w:rPr>
        <w:t>、采购需求</w:t>
      </w:r>
    </w:p>
    <w:p>
      <w:pPr>
        <w:pStyle w:val="14"/>
        <w:spacing w:before="156" w:beforeLines="50" w:after="156" w:afterLines="50" w:line="360" w:lineRule="auto"/>
        <w:jc w:val="both"/>
        <w:outlineLvl w:val="1"/>
        <w:rPr>
          <w:rFonts w:asciiTheme="minorEastAsia" w:hAnsiTheme="minorEastAsia" w:eastAsiaTheme="minorEastAsia"/>
          <w:b/>
          <w:sz w:val="24"/>
          <w:szCs w:val="24"/>
        </w:rPr>
      </w:pPr>
      <w:r>
        <w:rPr>
          <w:rFonts w:hint="eastAsia" w:asciiTheme="minorEastAsia" w:hAnsiTheme="minorEastAsia" w:eastAsiaTheme="minorEastAsia"/>
          <w:b/>
          <w:sz w:val="24"/>
          <w:szCs w:val="24"/>
          <w:lang w:eastAsia="zh-CN"/>
        </w:rPr>
        <w:t>2</w:t>
      </w:r>
      <w:r>
        <w:rPr>
          <w:rFonts w:asciiTheme="minorEastAsia" w:hAnsiTheme="minorEastAsia" w:eastAsiaTheme="minorEastAsia"/>
          <w:b/>
          <w:sz w:val="24"/>
          <w:szCs w:val="24"/>
        </w:rPr>
        <w:t>.1商务要求</w:t>
      </w:r>
    </w:p>
    <w:tbl>
      <w:tblPr>
        <w:tblStyle w:val="8"/>
        <w:tblW w:w="8391" w:type="dxa"/>
        <w:jc w:val="center"/>
        <w:tblLayout w:type="fixed"/>
        <w:tblCellMar>
          <w:top w:w="0" w:type="dxa"/>
          <w:left w:w="10" w:type="dxa"/>
          <w:bottom w:w="0" w:type="dxa"/>
          <w:right w:w="10" w:type="dxa"/>
        </w:tblCellMar>
      </w:tblPr>
      <w:tblGrid>
        <w:gridCol w:w="821"/>
        <w:gridCol w:w="1930"/>
        <w:gridCol w:w="5640"/>
      </w:tblGrid>
      <w:tr>
        <w:tblPrEx>
          <w:tblCellMar>
            <w:top w:w="0" w:type="dxa"/>
            <w:left w:w="10" w:type="dxa"/>
            <w:bottom w:w="0" w:type="dxa"/>
            <w:right w:w="10" w:type="dxa"/>
          </w:tblCellMar>
        </w:tblPrEx>
        <w:trPr>
          <w:trHeight w:val="533" w:hRule="exact"/>
          <w:jc w:val="center"/>
        </w:trPr>
        <w:tc>
          <w:tcPr>
            <w:tcW w:w="821" w:type="dxa"/>
            <w:tcBorders>
              <w:top w:val="single" w:color="auto" w:sz="4" w:space="0"/>
              <w:left w:val="single" w:color="auto" w:sz="4" w:space="0"/>
            </w:tcBorders>
            <w:shd w:val="clear" w:color="auto" w:fill="FFFFFF"/>
            <w:vAlign w:val="center"/>
          </w:tcPr>
          <w:p>
            <w:pPr>
              <w:pStyle w:val="16"/>
              <w:spacing w:line="240" w:lineRule="auto"/>
              <w:ind w:firstLine="0"/>
              <w:jc w:val="center"/>
            </w:pPr>
            <w:r>
              <w:t>序号</w:t>
            </w:r>
          </w:p>
        </w:tc>
        <w:tc>
          <w:tcPr>
            <w:tcW w:w="1930" w:type="dxa"/>
            <w:tcBorders>
              <w:top w:val="single" w:color="auto" w:sz="4" w:space="0"/>
              <w:left w:val="single" w:color="auto" w:sz="4" w:space="0"/>
            </w:tcBorders>
            <w:shd w:val="clear" w:color="auto" w:fill="FFFFFF"/>
            <w:vAlign w:val="center"/>
          </w:tcPr>
          <w:p>
            <w:pPr>
              <w:pStyle w:val="16"/>
              <w:spacing w:line="240" w:lineRule="auto"/>
              <w:ind w:firstLine="0"/>
              <w:jc w:val="center"/>
            </w:pPr>
            <w:r>
              <w:t>商务条款名称</w:t>
            </w:r>
          </w:p>
        </w:tc>
        <w:tc>
          <w:tcPr>
            <w:tcW w:w="5640" w:type="dxa"/>
            <w:tcBorders>
              <w:top w:val="single" w:color="auto" w:sz="4" w:space="0"/>
              <w:left w:val="single" w:color="auto" w:sz="4" w:space="0"/>
              <w:right w:val="single" w:color="auto" w:sz="4" w:space="0"/>
            </w:tcBorders>
            <w:shd w:val="clear" w:color="auto" w:fill="FFFFFF"/>
            <w:vAlign w:val="center"/>
          </w:tcPr>
          <w:p>
            <w:pPr>
              <w:pStyle w:val="16"/>
              <w:spacing w:line="240" w:lineRule="auto"/>
              <w:ind w:firstLine="0"/>
              <w:jc w:val="center"/>
            </w:pPr>
            <w:r>
              <w:t>具体要求内容</w:t>
            </w:r>
          </w:p>
        </w:tc>
      </w:tr>
      <w:tr>
        <w:tblPrEx>
          <w:tblCellMar>
            <w:top w:w="0" w:type="dxa"/>
            <w:left w:w="10" w:type="dxa"/>
            <w:bottom w:w="0" w:type="dxa"/>
            <w:right w:w="10" w:type="dxa"/>
          </w:tblCellMar>
        </w:tblPrEx>
        <w:trPr>
          <w:trHeight w:val="674" w:hRule="exact"/>
          <w:jc w:val="center"/>
        </w:trPr>
        <w:tc>
          <w:tcPr>
            <w:tcW w:w="821" w:type="dxa"/>
            <w:tcBorders>
              <w:top w:val="single" w:color="auto" w:sz="4" w:space="0"/>
              <w:left w:val="single" w:color="auto" w:sz="4" w:space="0"/>
            </w:tcBorders>
            <w:shd w:val="clear" w:color="auto" w:fill="FFFFFF"/>
            <w:vAlign w:val="center"/>
          </w:tcPr>
          <w:p>
            <w:pPr>
              <w:pStyle w:val="16"/>
              <w:spacing w:line="240" w:lineRule="auto"/>
              <w:ind w:firstLine="340"/>
            </w:pPr>
            <w:r>
              <w:t>1</w:t>
            </w:r>
          </w:p>
        </w:tc>
        <w:tc>
          <w:tcPr>
            <w:tcW w:w="1930" w:type="dxa"/>
            <w:tcBorders>
              <w:top w:val="single" w:color="auto" w:sz="4" w:space="0"/>
              <w:left w:val="single" w:color="auto" w:sz="4" w:space="0"/>
            </w:tcBorders>
            <w:shd w:val="clear" w:color="auto" w:fill="FFFFFF"/>
            <w:vAlign w:val="center"/>
          </w:tcPr>
          <w:p>
            <w:pPr>
              <w:pStyle w:val="16"/>
              <w:spacing w:line="240" w:lineRule="auto"/>
              <w:ind w:firstLine="0"/>
              <w:jc w:val="center"/>
            </w:pPr>
            <w:r>
              <w:t>付款方式</w:t>
            </w:r>
          </w:p>
        </w:tc>
        <w:tc>
          <w:tcPr>
            <w:tcW w:w="5640" w:type="dxa"/>
            <w:tcBorders>
              <w:top w:val="single" w:color="auto" w:sz="4" w:space="0"/>
              <w:left w:val="single" w:color="auto" w:sz="4" w:space="0"/>
              <w:right w:val="single" w:color="auto" w:sz="4" w:space="0"/>
            </w:tcBorders>
            <w:shd w:val="clear" w:color="auto" w:fill="FFFFFF"/>
            <w:vAlign w:val="center"/>
          </w:tcPr>
          <w:p>
            <w:pPr>
              <w:jc w:val="center"/>
              <w:rPr>
                <w:sz w:val="20"/>
                <w:szCs w:val="20"/>
              </w:rPr>
            </w:pPr>
            <w:r>
              <w:rPr>
                <w:rFonts w:asciiTheme="minorEastAsia" w:hAnsiTheme="minorEastAsia"/>
                <w:szCs w:val="21"/>
              </w:rPr>
              <w:t>项目终验后按服务容量</w:t>
            </w:r>
            <w:r>
              <w:rPr>
                <w:rFonts w:hint="eastAsia" w:asciiTheme="minorEastAsia" w:hAnsiTheme="minorEastAsia"/>
                <w:szCs w:val="21"/>
              </w:rPr>
              <w:t>年</w:t>
            </w:r>
            <w:r>
              <w:rPr>
                <w:rFonts w:asciiTheme="minorEastAsia" w:hAnsiTheme="minorEastAsia"/>
                <w:szCs w:val="21"/>
              </w:rPr>
              <w:t>度付款</w:t>
            </w:r>
          </w:p>
        </w:tc>
      </w:tr>
      <w:tr>
        <w:tblPrEx>
          <w:tblCellMar>
            <w:top w:w="0" w:type="dxa"/>
            <w:left w:w="10" w:type="dxa"/>
            <w:bottom w:w="0" w:type="dxa"/>
            <w:right w:w="10" w:type="dxa"/>
          </w:tblCellMar>
        </w:tblPrEx>
        <w:trPr>
          <w:trHeight w:val="779" w:hRule="exact"/>
          <w:jc w:val="center"/>
        </w:trPr>
        <w:tc>
          <w:tcPr>
            <w:tcW w:w="821" w:type="dxa"/>
            <w:tcBorders>
              <w:top w:val="single" w:color="auto" w:sz="4" w:space="0"/>
              <w:left w:val="single" w:color="auto" w:sz="4" w:space="0"/>
            </w:tcBorders>
            <w:shd w:val="clear" w:color="auto" w:fill="FFFFFF"/>
            <w:vAlign w:val="center"/>
          </w:tcPr>
          <w:p>
            <w:pPr>
              <w:pStyle w:val="16"/>
              <w:spacing w:line="240" w:lineRule="auto"/>
              <w:ind w:firstLine="340"/>
            </w:pPr>
            <w:r>
              <w:t>2</w:t>
            </w:r>
          </w:p>
        </w:tc>
        <w:tc>
          <w:tcPr>
            <w:tcW w:w="1930" w:type="dxa"/>
            <w:tcBorders>
              <w:top w:val="single" w:color="auto" w:sz="4" w:space="0"/>
              <w:left w:val="single" w:color="auto" w:sz="4" w:space="0"/>
            </w:tcBorders>
            <w:shd w:val="clear" w:color="auto" w:fill="FFFFFF"/>
            <w:vAlign w:val="center"/>
          </w:tcPr>
          <w:p>
            <w:pPr>
              <w:pStyle w:val="16"/>
              <w:spacing w:line="240" w:lineRule="auto"/>
              <w:ind w:firstLine="0"/>
              <w:jc w:val="center"/>
            </w:pPr>
            <w:r>
              <w:t>服务地点</w:t>
            </w:r>
          </w:p>
        </w:tc>
        <w:tc>
          <w:tcPr>
            <w:tcW w:w="5640" w:type="dxa"/>
            <w:tcBorders>
              <w:top w:val="single" w:color="auto" w:sz="4" w:space="0"/>
              <w:left w:val="single" w:color="auto" w:sz="4" w:space="0"/>
              <w:right w:val="single" w:color="auto" w:sz="4" w:space="0"/>
            </w:tcBorders>
            <w:shd w:val="clear" w:color="auto" w:fill="FFFFFF"/>
            <w:vAlign w:val="center"/>
          </w:tcPr>
          <w:p>
            <w:pPr>
              <w:jc w:val="center"/>
              <w:rPr>
                <w:sz w:val="20"/>
                <w:szCs w:val="20"/>
              </w:rPr>
            </w:pPr>
            <w:r>
              <w:rPr>
                <w:rFonts w:hint="eastAsia" w:asciiTheme="minorEastAsia" w:hAnsiTheme="minorEastAsia"/>
                <w:szCs w:val="21"/>
                <w:lang w:eastAsia="zh-CN"/>
              </w:rPr>
              <w:t>宁国市永祥电力工程技术有限公司</w:t>
            </w:r>
            <w:r>
              <w:rPr>
                <w:rFonts w:hint="eastAsia" w:asciiTheme="minorEastAsia" w:hAnsiTheme="minorEastAsia"/>
                <w:szCs w:val="21"/>
              </w:rPr>
              <w:t>所属各分布式电站</w:t>
            </w:r>
          </w:p>
        </w:tc>
      </w:tr>
      <w:tr>
        <w:tblPrEx>
          <w:tblCellMar>
            <w:top w:w="0" w:type="dxa"/>
            <w:left w:w="10" w:type="dxa"/>
            <w:bottom w:w="0" w:type="dxa"/>
            <w:right w:w="10" w:type="dxa"/>
          </w:tblCellMar>
        </w:tblPrEx>
        <w:trPr>
          <w:trHeight w:val="702" w:hRule="exact"/>
          <w:jc w:val="center"/>
        </w:trPr>
        <w:tc>
          <w:tcPr>
            <w:tcW w:w="821" w:type="dxa"/>
            <w:tcBorders>
              <w:top w:val="single" w:color="auto" w:sz="4" w:space="0"/>
              <w:left w:val="single" w:color="auto" w:sz="4" w:space="0"/>
            </w:tcBorders>
            <w:shd w:val="clear" w:color="auto" w:fill="FFFFFF"/>
            <w:vAlign w:val="center"/>
          </w:tcPr>
          <w:p>
            <w:pPr>
              <w:pStyle w:val="16"/>
              <w:spacing w:line="240" w:lineRule="auto"/>
              <w:ind w:firstLine="340"/>
            </w:pPr>
            <w:r>
              <w:t>3</w:t>
            </w:r>
          </w:p>
        </w:tc>
        <w:tc>
          <w:tcPr>
            <w:tcW w:w="1930" w:type="dxa"/>
            <w:tcBorders>
              <w:top w:val="single" w:color="auto" w:sz="4" w:space="0"/>
              <w:left w:val="single" w:color="auto" w:sz="4" w:space="0"/>
            </w:tcBorders>
            <w:shd w:val="clear" w:color="auto" w:fill="FFFFFF"/>
            <w:vAlign w:val="center"/>
          </w:tcPr>
          <w:p>
            <w:pPr>
              <w:pStyle w:val="16"/>
              <w:spacing w:line="240" w:lineRule="auto"/>
              <w:ind w:firstLine="0"/>
              <w:jc w:val="center"/>
            </w:pPr>
            <w:r>
              <w:t>服务期限</w:t>
            </w:r>
          </w:p>
        </w:tc>
        <w:tc>
          <w:tcPr>
            <w:tcW w:w="5640" w:type="dxa"/>
            <w:tcBorders>
              <w:top w:val="single" w:color="auto" w:sz="4" w:space="0"/>
              <w:left w:val="single" w:color="auto" w:sz="4" w:space="0"/>
              <w:right w:val="single" w:color="auto" w:sz="4" w:space="0"/>
            </w:tcBorders>
            <w:shd w:val="clear" w:color="auto" w:fill="FFFFFF"/>
            <w:vAlign w:val="center"/>
          </w:tcPr>
          <w:p>
            <w:pPr>
              <w:jc w:val="center"/>
              <w:rPr>
                <w:rFonts w:hint="default" w:eastAsiaTheme="minorEastAsia"/>
                <w:sz w:val="20"/>
                <w:szCs w:val="20"/>
                <w:lang w:val="en-US" w:eastAsia="zh-CN"/>
              </w:rPr>
            </w:pPr>
            <w:r>
              <w:rPr>
                <w:rFonts w:hint="eastAsia" w:cs="微软雅黑" w:asciiTheme="minorEastAsia" w:hAnsiTheme="minorEastAsia"/>
                <w:color w:val="030303"/>
                <w:shd w:val="clear" w:color="auto" w:fill="FFFFFF"/>
              </w:rPr>
              <w:t>自合同签订之日起</w:t>
            </w:r>
            <w:r>
              <w:rPr>
                <w:rFonts w:hint="eastAsia" w:cs="微软雅黑" w:asciiTheme="minorEastAsia" w:hAnsiTheme="minorEastAsia"/>
                <w:color w:val="030303"/>
                <w:shd w:val="clear" w:color="auto" w:fill="FFFFFF"/>
                <w:lang w:val="en-US" w:eastAsia="zh-CN"/>
              </w:rPr>
              <w:t>1</w:t>
            </w:r>
            <w:r>
              <w:rPr>
                <w:rFonts w:hint="eastAsia" w:cs="微软雅黑" w:asciiTheme="minorEastAsia" w:hAnsiTheme="minorEastAsia"/>
                <w:color w:val="030303"/>
                <w:shd w:val="clear" w:color="auto" w:fill="FFFFFF"/>
              </w:rPr>
              <w:t>年</w:t>
            </w:r>
          </w:p>
        </w:tc>
      </w:tr>
      <w:tr>
        <w:tblPrEx>
          <w:tblCellMar>
            <w:top w:w="0" w:type="dxa"/>
            <w:left w:w="10" w:type="dxa"/>
            <w:bottom w:w="0" w:type="dxa"/>
            <w:right w:w="10" w:type="dxa"/>
          </w:tblCellMar>
        </w:tblPrEx>
        <w:trPr>
          <w:trHeight w:val="732" w:hRule="exact"/>
          <w:jc w:val="center"/>
        </w:trPr>
        <w:tc>
          <w:tcPr>
            <w:tcW w:w="821" w:type="dxa"/>
            <w:tcBorders>
              <w:top w:val="single" w:color="auto" w:sz="4" w:space="0"/>
              <w:left w:val="single" w:color="auto" w:sz="4" w:space="0"/>
              <w:bottom w:val="single" w:color="auto" w:sz="4" w:space="0"/>
            </w:tcBorders>
            <w:shd w:val="clear" w:color="auto" w:fill="FFFFFF"/>
            <w:vAlign w:val="center"/>
          </w:tcPr>
          <w:p>
            <w:pPr>
              <w:pStyle w:val="16"/>
              <w:spacing w:line="240" w:lineRule="auto"/>
              <w:ind w:firstLine="340"/>
            </w:pPr>
            <w:r>
              <w:t>4</w:t>
            </w:r>
          </w:p>
        </w:tc>
        <w:tc>
          <w:tcPr>
            <w:tcW w:w="1930" w:type="dxa"/>
            <w:tcBorders>
              <w:top w:val="single" w:color="auto" w:sz="4" w:space="0"/>
              <w:left w:val="single" w:color="auto" w:sz="4" w:space="0"/>
              <w:bottom w:val="single" w:color="auto" w:sz="4" w:space="0"/>
            </w:tcBorders>
            <w:shd w:val="clear" w:color="auto" w:fill="FFFFFF"/>
            <w:vAlign w:val="center"/>
          </w:tcPr>
          <w:p>
            <w:pPr>
              <w:pStyle w:val="16"/>
              <w:spacing w:line="240" w:lineRule="auto"/>
              <w:ind w:firstLine="0"/>
              <w:jc w:val="center"/>
            </w:pPr>
            <w:r>
              <w:rPr>
                <w:rFonts w:hint="eastAsia"/>
                <w:lang w:eastAsia="zh-CN"/>
              </w:rPr>
              <w:t>其他</w:t>
            </w:r>
          </w:p>
        </w:tc>
        <w:tc>
          <w:tcPr>
            <w:tcW w:w="564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6"/>
              <w:spacing w:line="240" w:lineRule="auto"/>
              <w:ind w:firstLine="0"/>
              <w:jc w:val="center"/>
            </w:pPr>
            <w:r>
              <w:t>/</w:t>
            </w:r>
          </w:p>
        </w:tc>
      </w:tr>
    </w:tbl>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供应商资格条件：</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1、在中华人民共和国注册，具有独立承担民事责任的能力；</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2、具有良好的商业信誉和健全的财务制度；</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3、此前三年在经营活动中无违法记录。</w:t>
      </w:r>
    </w:p>
    <w:p>
      <w:pPr>
        <w:pStyle w:val="14"/>
        <w:spacing w:before="156" w:beforeLines="50" w:after="156" w:afterLines="50" w:line="360" w:lineRule="auto"/>
        <w:jc w:val="both"/>
        <w:outlineLvl w:val="1"/>
        <w:rPr>
          <w:rFonts w:asciiTheme="minorEastAsia" w:hAnsiTheme="minorEastAsia" w:eastAsiaTheme="minorEastAsia"/>
          <w:b/>
          <w:sz w:val="24"/>
          <w:szCs w:val="24"/>
        </w:rPr>
      </w:pPr>
      <w:r>
        <w:rPr>
          <w:rFonts w:hint="eastAsia" w:asciiTheme="minorEastAsia" w:hAnsiTheme="minorEastAsia" w:eastAsiaTheme="minorEastAsia"/>
          <w:b/>
          <w:sz w:val="24"/>
          <w:szCs w:val="24"/>
          <w:lang w:eastAsia="zh-CN"/>
        </w:rPr>
        <w:t>2</w:t>
      </w:r>
      <w:r>
        <w:rPr>
          <w:rFonts w:asciiTheme="minorEastAsia" w:hAnsiTheme="minorEastAsia" w:eastAsiaTheme="minorEastAsia"/>
          <w:b/>
          <w:sz w:val="24"/>
          <w:szCs w:val="24"/>
        </w:rPr>
        <w:t>.</w:t>
      </w:r>
      <w:r>
        <w:rPr>
          <w:rFonts w:eastAsia="PMingLiU" w:asciiTheme="minorEastAsia" w:hAnsiTheme="minorEastAsia"/>
          <w:b/>
          <w:sz w:val="24"/>
          <w:szCs w:val="24"/>
        </w:rPr>
        <w:t>2</w:t>
      </w:r>
      <w:r>
        <w:rPr>
          <w:rFonts w:asciiTheme="minorEastAsia" w:hAnsiTheme="minorEastAsia" w:eastAsiaTheme="minorEastAsia"/>
          <w:b/>
          <w:sz w:val="24"/>
          <w:szCs w:val="24"/>
        </w:rPr>
        <w:t>服务要求</w:t>
      </w:r>
    </w:p>
    <w:p>
      <w:pPr>
        <w:pStyle w:val="14"/>
        <w:spacing w:before="156" w:beforeLines="50" w:after="156" w:afterLines="50" w:line="360" w:lineRule="auto"/>
        <w:jc w:val="both"/>
        <w:outlineLvl w:val="2"/>
        <w:rPr>
          <w:rFonts w:eastAsia="PMingLiU"/>
          <w:b/>
          <w:sz w:val="24"/>
          <w:szCs w:val="24"/>
        </w:rPr>
      </w:pPr>
      <w:bookmarkStart w:id="0" w:name="bookmark241"/>
      <w:r>
        <w:rPr>
          <w:rFonts w:hint="eastAsia"/>
          <w:b/>
          <w:sz w:val="24"/>
          <w:szCs w:val="24"/>
          <w:lang w:eastAsia="zh-CN"/>
        </w:rPr>
        <w:t>2</w:t>
      </w:r>
      <w:r>
        <w:rPr>
          <w:b/>
          <w:sz w:val="24"/>
          <w:szCs w:val="24"/>
        </w:rPr>
        <w:t>.2.1基本情况</w:t>
      </w:r>
    </w:p>
    <w:p>
      <w:pPr>
        <w:pStyle w:val="19"/>
        <w:tabs>
          <w:tab w:val="left" w:pos="909"/>
        </w:tabs>
        <w:spacing w:line="360" w:lineRule="auto"/>
        <w:ind w:firstLine="480" w:firstLineChars="200"/>
        <w:jc w:val="both"/>
        <w:rPr>
          <w:sz w:val="24"/>
          <w:szCs w:val="24"/>
          <w:lang w:eastAsia="zh-CN"/>
        </w:rPr>
      </w:pPr>
      <w:r>
        <w:rPr>
          <w:rFonts w:hint="eastAsia"/>
          <w:sz w:val="24"/>
          <w:szCs w:val="24"/>
          <w:lang w:eastAsia="zh-CN"/>
        </w:rPr>
        <w:t>宁国市永祥电力工程技术有限公司</w:t>
      </w:r>
      <w:r>
        <w:rPr>
          <w:rFonts w:hint="eastAsia"/>
          <w:sz w:val="24"/>
          <w:szCs w:val="24"/>
        </w:rPr>
        <w:t>预计持有总装机容量</w:t>
      </w:r>
      <w:r>
        <w:rPr>
          <w:rFonts w:eastAsia="PMingLiU"/>
          <w:sz w:val="24"/>
          <w:szCs w:val="24"/>
        </w:rPr>
        <w:t>110</w:t>
      </w:r>
      <w:r>
        <w:rPr>
          <w:rFonts w:hint="eastAsia"/>
          <w:sz w:val="24"/>
          <w:szCs w:val="24"/>
        </w:rPr>
        <w:t>兆瓦分布式光伏电站，采用“自发自用，余电上网”的模式。因后期电站数量较多，管理难度较大，现需采购设计一个智慧能源管理平台，接入分布式光伏电站数据，系统设计需满足合理性、实用性、先进性、可靠性、可扩展性、易用性、健壮性、开放性和经济性等基本原则，具备配置管理、光伏数字化监控、配套移动APP、数字化监管、数字化结算等功能</w:t>
      </w:r>
      <w:r>
        <w:rPr>
          <w:rFonts w:hint="eastAsia"/>
          <w:sz w:val="24"/>
          <w:szCs w:val="24"/>
          <w:lang w:eastAsia="zh-CN"/>
        </w:rPr>
        <w:t>，</w:t>
      </w:r>
      <w:r>
        <w:rPr>
          <w:rFonts w:hint="eastAsia"/>
          <w:sz w:val="24"/>
          <w:szCs w:val="24"/>
          <w:lang w:val="en-US" w:eastAsia="zh-CN"/>
        </w:rPr>
        <w:t>并对</w:t>
      </w:r>
      <w:r>
        <w:rPr>
          <w:rFonts w:hint="eastAsia"/>
          <w:sz w:val="24"/>
          <w:szCs w:val="24"/>
        </w:rPr>
        <w:t>存量电站</w:t>
      </w:r>
      <w:r>
        <w:rPr>
          <w:rFonts w:hint="eastAsia"/>
          <w:sz w:val="24"/>
          <w:szCs w:val="24"/>
          <w:lang w:val="en-US" w:eastAsia="zh-CN"/>
        </w:rPr>
        <w:t>进行</w:t>
      </w:r>
      <w:r>
        <w:rPr>
          <w:rFonts w:hint="eastAsia"/>
          <w:sz w:val="24"/>
          <w:szCs w:val="24"/>
        </w:rPr>
        <w:t>数字化改造</w:t>
      </w:r>
      <w:r>
        <w:rPr>
          <w:rFonts w:hint="eastAsia"/>
          <w:sz w:val="24"/>
          <w:szCs w:val="24"/>
          <w:lang w:eastAsia="zh-CN"/>
        </w:rPr>
        <w:t>。</w:t>
      </w:r>
      <w:bookmarkEnd w:id="0"/>
    </w:p>
    <w:p>
      <w:pPr>
        <w:pStyle w:val="14"/>
        <w:spacing w:before="156" w:beforeLines="50" w:after="156" w:afterLines="50" w:line="360" w:lineRule="auto"/>
        <w:jc w:val="both"/>
        <w:outlineLvl w:val="2"/>
        <w:rPr>
          <w:rFonts w:eastAsia="PMingLiU"/>
          <w:b/>
          <w:sz w:val="24"/>
          <w:szCs w:val="24"/>
        </w:rPr>
      </w:pPr>
      <w:r>
        <w:rPr>
          <w:rFonts w:hint="eastAsia"/>
          <w:b/>
          <w:sz w:val="24"/>
          <w:szCs w:val="24"/>
          <w:lang w:eastAsia="zh-CN"/>
        </w:rPr>
        <w:t>2</w:t>
      </w:r>
      <w:r>
        <w:rPr>
          <w:b/>
          <w:sz w:val="24"/>
          <w:szCs w:val="24"/>
        </w:rPr>
        <w:t>.2.</w:t>
      </w:r>
      <w:r>
        <w:rPr>
          <w:rFonts w:eastAsia="PMingLiU"/>
          <w:b/>
          <w:sz w:val="24"/>
          <w:szCs w:val="24"/>
        </w:rPr>
        <w:t>2</w:t>
      </w:r>
      <w:r>
        <w:rPr>
          <w:b/>
          <w:sz w:val="24"/>
          <w:szCs w:val="24"/>
        </w:rPr>
        <w:t>技术要求</w:t>
      </w:r>
    </w:p>
    <w:p>
      <w:pPr>
        <w:pStyle w:val="4"/>
        <w:spacing w:line="360" w:lineRule="auto"/>
        <w:ind w:firstLine="480" w:firstLineChars="200"/>
        <w:jc w:val="both"/>
        <w:rPr>
          <w:rFonts w:asciiTheme="minorEastAsia" w:hAnsiTheme="minorEastAsia" w:eastAsiaTheme="minorEastAsia"/>
          <w:szCs w:val="24"/>
          <w:lang w:eastAsia="zh-CN"/>
        </w:rPr>
      </w:pPr>
      <w:r>
        <w:rPr>
          <w:rFonts w:hint="eastAsia" w:asciiTheme="minorEastAsia" w:hAnsiTheme="minorEastAsia" w:eastAsiaTheme="minorEastAsia"/>
          <w:szCs w:val="24"/>
          <w:lang w:eastAsia="zh-CN"/>
        </w:rPr>
        <w:t>智慧能源管理平台定位为新能源数据存储中心（数据云）、监控支持中心、诊断分析中心和技术创新中心，主要功能为：运行监控与指标分析、设备诊断分析及故障预警、数据管理与信息安全监控、技术监督和设备管理、在线技术支持和后评价、技术与数据应用创新支撑。</w:t>
      </w:r>
    </w:p>
    <w:p>
      <w:pPr>
        <w:pStyle w:val="17"/>
        <w:spacing w:line="360" w:lineRule="auto"/>
        <w:ind w:firstLine="480"/>
        <w:rPr>
          <w:rFonts w:asciiTheme="minorEastAsia" w:hAnsiTheme="minorEastAsia" w:eastAsiaTheme="minorEastAsia"/>
          <w:color w:val="000000" w:themeColor="text1"/>
          <w:lang w:eastAsia="zh-CN"/>
          <w14:textFill>
            <w14:solidFill>
              <w14:schemeClr w14:val="tx1"/>
            </w14:solidFill>
          </w14:textFill>
        </w:rPr>
      </w:pPr>
      <w:r>
        <w:rPr>
          <w:rFonts w:hint="eastAsia" w:asciiTheme="minorEastAsia" w:hAnsiTheme="minorEastAsia" w:eastAsiaTheme="minorEastAsia"/>
          <w:lang w:eastAsia="zh-CN"/>
        </w:rPr>
        <w:t>智慧能源管理平台</w:t>
      </w:r>
      <w:r>
        <w:rPr>
          <w:rFonts w:hint="eastAsia" w:asciiTheme="minorEastAsia" w:hAnsiTheme="minorEastAsia" w:eastAsiaTheme="minorEastAsia"/>
          <w:color w:val="000000" w:themeColor="text1"/>
          <w:lang w:eastAsia="zh-CN"/>
          <w14:textFill>
            <w14:solidFill>
              <w14:schemeClr w14:val="tx1"/>
            </w14:solidFill>
          </w14:textFill>
        </w:rPr>
        <w:t>需具备资产概览、运行概览、电站监控（提供电站发电量、发电收益、实时功率的统计和展示）、设备监控、数据报表、智能告警（所有已发生或发生中的告警以列表的形式展现出来）、群电站列表、单电站详情页、群设备列表、单设备详情页、气象监控、光伏电费结算等功能（环测仪的基本信息、实时环测数据）。</w:t>
      </w:r>
    </w:p>
    <w:p>
      <w:pPr>
        <w:pStyle w:val="17"/>
        <w:spacing w:line="360" w:lineRule="auto"/>
        <w:ind w:firstLine="480"/>
        <w:rPr>
          <w:rFonts w:ascii="宋体" w:hAnsi="宋体" w:eastAsia="宋体" w:cs="微软雅黑"/>
          <w:color w:val="030303"/>
          <w:shd w:val="clear" w:color="auto" w:fill="FFFFFF"/>
          <w:lang w:eastAsia="zh-CN"/>
        </w:rPr>
      </w:pPr>
      <w:r>
        <w:rPr>
          <w:rFonts w:hint="eastAsia" w:asciiTheme="minorEastAsia" w:hAnsiTheme="minorEastAsia" w:eastAsiaTheme="minorEastAsia"/>
          <w:bCs/>
          <w:lang w:eastAsia="zh-CN"/>
        </w:rPr>
        <w:t>移动端APP需呈现全景资产概览，核心资产数据指标涵盖电站容量、电站数量，并对电站运行概况进行分类正常、异常，可直接通过资产管理进入到资产异常电站列表。资产管理支持以资产地图模式对电站位置分布进行呈现，对不同区域电站数量进行查询，并且对所有电站资产收益、上网收益、自用收益进行分类统计，支持每月更新峰谷平电价。支持顶部背景更换、支持顶部文字和logo更换，支持不同角色用户看到不同数量和区域的电站，以支撑全国性范围分区域管理，集团侧管理的多级管控。</w:t>
      </w:r>
    </w:p>
    <w:p>
      <w:pPr>
        <w:pStyle w:val="14"/>
        <w:spacing w:before="156" w:beforeLines="50" w:after="156" w:afterLines="50" w:line="360" w:lineRule="auto"/>
        <w:jc w:val="both"/>
        <w:outlineLvl w:val="1"/>
        <w:rPr>
          <w:rFonts w:eastAsia="PMingLiU" w:asciiTheme="minorEastAsia" w:hAnsiTheme="minorEastAsia"/>
          <w:b/>
          <w:sz w:val="24"/>
          <w:szCs w:val="24"/>
        </w:rPr>
      </w:pPr>
      <w:r>
        <w:rPr>
          <w:rFonts w:hint="eastAsia" w:asciiTheme="minorEastAsia" w:hAnsiTheme="minorEastAsia" w:eastAsiaTheme="minorEastAsia"/>
          <w:b/>
          <w:sz w:val="24"/>
          <w:szCs w:val="24"/>
          <w:lang w:eastAsia="zh-CN"/>
        </w:rPr>
        <w:t>2</w:t>
      </w:r>
      <w:r>
        <w:rPr>
          <w:rFonts w:asciiTheme="minorEastAsia" w:hAnsiTheme="minorEastAsia" w:eastAsiaTheme="minorEastAsia"/>
          <w:b/>
          <w:sz w:val="24"/>
          <w:szCs w:val="24"/>
        </w:rPr>
        <w:t>.</w:t>
      </w:r>
      <w:r>
        <w:rPr>
          <w:rFonts w:eastAsia="PMingLiU" w:asciiTheme="minorEastAsia" w:hAnsiTheme="minorEastAsia"/>
          <w:b/>
          <w:sz w:val="24"/>
          <w:szCs w:val="24"/>
        </w:rPr>
        <w:t>3</w:t>
      </w:r>
      <w:r>
        <w:rPr>
          <w:rFonts w:asciiTheme="minorEastAsia" w:hAnsiTheme="minorEastAsia" w:eastAsiaTheme="minorEastAsia"/>
          <w:b/>
          <w:sz w:val="24"/>
          <w:szCs w:val="24"/>
        </w:rPr>
        <w:t>报价文件内容</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1、投标报价表；</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2、公司营业执照；</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3、相关资质证书；</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4、技术方案。</w:t>
      </w:r>
    </w:p>
    <w:p>
      <w:pPr>
        <w:pStyle w:val="14"/>
        <w:spacing w:before="156" w:beforeLines="50" w:after="156" w:afterLines="50" w:line="360" w:lineRule="auto"/>
        <w:jc w:val="both"/>
        <w:outlineLvl w:val="0"/>
        <w:rPr>
          <w:rFonts w:eastAsia="PMingLiU"/>
          <w:b/>
          <w:sz w:val="24"/>
          <w:szCs w:val="24"/>
        </w:rPr>
      </w:pPr>
      <w:r>
        <w:rPr>
          <w:rFonts w:hint="eastAsia"/>
          <w:b/>
          <w:sz w:val="24"/>
          <w:szCs w:val="24"/>
          <w:lang w:val="en-US" w:eastAsia="zh-CN" w:bidi="en-US"/>
        </w:rPr>
        <w:t>三</w:t>
      </w:r>
      <w:r>
        <w:rPr>
          <w:rFonts w:hint="eastAsia"/>
          <w:b/>
          <w:sz w:val="24"/>
          <w:szCs w:val="24"/>
        </w:rPr>
        <w:t>、评标方法和标准</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评标原则：综合实力、资质合格、质量可靠、合理低价中标。</w:t>
      </w:r>
    </w:p>
    <w:tbl>
      <w:tblPr>
        <w:tblStyle w:val="9"/>
        <w:tblW w:w="9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1"/>
        <w:gridCol w:w="6694"/>
        <w:gridCol w:w="1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pPr>
              <w:pStyle w:val="16"/>
              <w:spacing w:line="240" w:lineRule="auto"/>
              <w:ind w:firstLine="0"/>
              <w:jc w:val="center"/>
              <w:rPr>
                <w:sz w:val="21"/>
                <w:szCs w:val="21"/>
                <w:lang w:eastAsia="zh-CN"/>
              </w:rPr>
            </w:pPr>
            <w:r>
              <w:rPr>
                <w:sz w:val="21"/>
                <w:szCs w:val="21"/>
              </w:rPr>
              <w:t>评分项</w:t>
            </w:r>
          </w:p>
        </w:tc>
        <w:tc>
          <w:tcPr>
            <w:tcW w:w="6694" w:type="dxa"/>
            <w:vAlign w:val="center"/>
          </w:tcPr>
          <w:p>
            <w:pPr>
              <w:pStyle w:val="16"/>
              <w:spacing w:line="240" w:lineRule="auto"/>
              <w:ind w:firstLine="0"/>
              <w:jc w:val="center"/>
              <w:rPr>
                <w:sz w:val="21"/>
                <w:szCs w:val="21"/>
                <w:lang w:eastAsia="zh-CN"/>
              </w:rPr>
            </w:pPr>
            <w:r>
              <w:rPr>
                <w:sz w:val="21"/>
                <w:szCs w:val="21"/>
              </w:rPr>
              <w:t>内容</w:t>
            </w:r>
          </w:p>
        </w:tc>
        <w:tc>
          <w:tcPr>
            <w:tcW w:w="1324" w:type="dxa"/>
          </w:tcPr>
          <w:p>
            <w:pPr>
              <w:pStyle w:val="16"/>
              <w:spacing w:after="160" w:line="240" w:lineRule="auto"/>
              <w:ind w:firstLine="0"/>
              <w:jc w:val="right"/>
              <w:rPr>
                <w:sz w:val="21"/>
                <w:szCs w:val="21"/>
              </w:rPr>
            </w:pPr>
            <w:r>
              <w:rPr>
                <w:sz w:val="21"/>
                <w:szCs w:val="21"/>
              </w:rPr>
              <w:t>最高分值</w:t>
            </w:r>
          </w:p>
          <w:p>
            <w:pPr>
              <w:pStyle w:val="16"/>
              <w:spacing w:line="240" w:lineRule="auto"/>
              <w:ind w:firstLine="0"/>
              <w:jc w:val="center"/>
              <w:rPr>
                <w:sz w:val="21"/>
                <w:szCs w:val="21"/>
                <w:lang w:eastAsia="zh-CN"/>
              </w:rPr>
            </w:pPr>
            <w:r>
              <w:rPr>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pPr>
              <w:pStyle w:val="16"/>
              <w:spacing w:line="240" w:lineRule="auto"/>
              <w:ind w:firstLine="0"/>
              <w:jc w:val="center"/>
              <w:rPr>
                <w:sz w:val="21"/>
                <w:szCs w:val="21"/>
                <w:lang w:eastAsia="zh-CN"/>
              </w:rPr>
            </w:pPr>
            <w:r>
              <w:rPr>
                <w:rFonts w:hint="eastAsia"/>
                <w:sz w:val="21"/>
                <w:szCs w:val="21"/>
                <w:lang w:val="en-US" w:eastAsia="zh-CN"/>
              </w:rPr>
              <w:t>投标报价</w:t>
            </w:r>
          </w:p>
        </w:tc>
        <w:tc>
          <w:tcPr>
            <w:tcW w:w="6694" w:type="dxa"/>
          </w:tcPr>
          <w:p>
            <w:pPr>
              <w:pStyle w:val="16"/>
              <w:spacing w:line="413" w:lineRule="exact"/>
              <w:ind w:firstLine="0"/>
              <w:rPr>
                <w:sz w:val="21"/>
                <w:szCs w:val="21"/>
              </w:rPr>
            </w:pPr>
            <w:r>
              <w:rPr>
                <w:rFonts w:hint="eastAsia"/>
                <w:sz w:val="21"/>
                <w:szCs w:val="21"/>
                <w:lang w:val="en-US" w:eastAsia="zh-CN"/>
              </w:rPr>
              <w:t>投标报价</w:t>
            </w:r>
            <w:r>
              <w:rPr>
                <w:sz w:val="21"/>
                <w:szCs w:val="21"/>
              </w:rPr>
              <w:t>（满分</w:t>
            </w:r>
            <w:r>
              <w:rPr>
                <w:rFonts w:hint="eastAsia"/>
                <w:sz w:val="21"/>
                <w:szCs w:val="21"/>
                <w:lang w:val="en-US" w:eastAsia="zh-CN"/>
              </w:rPr>
              <w:t>40</w:t>
            </w:r>
            <w:r>
              <w:rPr>
                <w:sz w:val="21"/>
                <w:szCs w:val="21"/>
              </w:rPr>
              <w:t>分）：</w:t>
            </w:r>
          </w:p>
          <w:p>
            <w:pPr>
              <w:pStyle w:val="16"/>
              <w:tabs>
                <w:tab w:val="left" w:pos="307"/>
              </w:tabs>
              <w:spacing w:line="408" w:lineRule="exact"/>
              <w:ind w:firstLine="0"/>
              <w:rPr>
                <w:sz w:val="21"/>
                <w:szCs w:val="21"/>
                <w:lang w:eastAsia="zh-CN"/>
              </w:rPr>
            </w:pPr>
            <w:r>
              <w:rPr>
                <w:rFonts w:hint="eastAsia"/>
                <w:sz w:val="21"/>
                <w:szCs w:val="21"/>
                <w:lang w:val="en-US" w:eastAsia="zh-CN"/>
              </w:rPr>
              <w:t>采</w:t>
            </w:r>
            <w:r>
              <w:rPr>
                <w:sz w:val="21"/>
                <w:szCs w:val="21"/>
              </w:rPr>
              <w:t>用低价优先法计算，即满足</w:t>
            </w:r>
            <w:r>
              <w:rPr>
                <w:rFonts w:hint="eastAsia"/>
                <w:sz w:val="21"/>
                <w:szCs w:val="21"/>
                <w:lang w:eastAsia="zh-CN"/>
              </w:rPr>
              <w:t>招标文件</w:t>
            </w:r>
            <w:r>
              <w:rPr>
                <w:sz w:val="21"/>
                <w:szCs w:val="21"/>
              </w:rPr>
              <w:t>要求且投标报价最低的供应商的投标价格为评标基准价，其价格分为满分。其他供应商的价格分</w:t>
            </w:r>
            <w:r>
              <w:rPr>
                <w:rFonts w:hint="eastAsia"/>
                <w:sz w:val="21"/>
                <w:szCs w:val="21"/>
                <w:lang w:eastAsia="zh-CN"/>
              </w:rPr>
              <w:t>统一</w:t>
            </w:r>
            <w:r>
              <w:rPr>
                <w:sz w:val="21"/>
                <w:szCs w:val="21"/>
              </w:rPr>
              <w:t>按照下列公式计算：投标报价得分=（评标</w:t>
            </w:r>
            <w:r>
              <w:rPr>
                <w:rFonts w:hint="eastAsia"/>
                <w:sz w:val="21"/>
                <w:szCs w:val="21"/>
                <w:lang w:val="en-US" w:eastAsia="zh-CN"/>
              </w:rPr>
              <w:t>基</w:t>
            </w:r>
            <w:r>
              <w:rPr>
                <w:sz w:val="21"/>
                <w:szCs w:val="21"/>
              </w:rPr>
              <w:t>准价/投标报价）</w:t>
            </w:r>
            <w:r>
              <w:rPr>
                <w:rFonts w:hint="eastAsia"/>
                <w:sz w:val="21"/>
                <w:szCs w:val="21"/>
                <w:lang w:val="en-US" w:eastAsia="zh-CN"/>
              </w:rPr>
              <w:t>*40</w:t>
            </w:r>
            <w:r>
              <w:rPr>
                <w:sz w:val="21"/>
                <w:szCs w:val="21"/>
                <w:lang w:val="en-US" w:eastAsia="zh-CN"/>
              </w:rPr>
              <w:t>%</w:t>
            </w:r>
            <w:r>
              <w:rPr>
                <w:rFonts w:hint="eastAsia"/>
                <w:sz w:val="21"/>
                <w:szCs w:val="21"/>
                <w:lang w:val="en-US" w:eastAsia="zh-CN"/>
              </w:rPr>
              <w:t>*100，</w:t>
            </w:r>
            <w:r>
              <w:rPr>
                <w:sz w:val="21"/>
                <w:szCs w:val="21"/>
              </w:rPr>
              <w:t>如此类推，算出所有供应商的价格得分。（得分</w:t>
            </w:r>
            <w:r>
              <w:rPr>
                <w:rFonts w:hint="eastAsia"/>
                <w:sz w:val="21"/>
                <w:szCs w:val="21"/>
                <w:lang w:eastAsia="zh-CN"/>
              </w:rPr>
              <w:t>保留两位</w:t>
            </w:r>
            <w:r>
              <w:rPr>
                <w:sz w:val="21"/>
                <w:szCs w:val="21"/>
              </w:rPr>
              <w:t>小数，第三位四舍五入）</w:t>
            </w:r>
          </w:p>
        </w:tc>
        <w:tc>
          <w:tcPr>
            <w:tcW w:w="1324" w:type="dxa"/>
            <w:vAlign w:val="center"/>
          </w:tcPr>
          <w:p>
            <w:pPr>
              <w:pStyle w:val="16"/>
              <w:spacing w:line="240" w:lineRule="auto"/>
              <w:rPr>
                <w:rFonts w:hint="default"/>
                <w:sz w:val="21"/>
                <w:szCs w:val="21"/>
                <w:lang w:val="en-US" w:eastAsia="zh-CN"/>
              </w:rPr>
            </w:pPr>
            <w:r>
              <w:rPr>
                <w:rFonts w:hint="eastAsia"/>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技术方案</w:t>
            </w:r>
          </w:p>
        </w:tc>
        <w:tc>
          <w:tcPr>
            <w:tcW w:w="6694" w:type="dxa"/>
          </w:tcPr>
          <w:p>
            <w:pPr>
              <w:rPr>
                <w:rFonts w:ascii="宋体" w:hAnsi="宋体" w:eastAsia="宋体" w:cs="宋体"/>
                <w:szCs w:val="21"/>
                <w:lang w:bidi="zh-TW"/>
              </w:rPr>
            </w:pPr>
            <w:r>
              <w:rPr>
                <w:rFonts w:ascii="宋体" w:hAnsi="宋体" w:eastAsia="宋体" w:cs="宋体"/>
                <w:szCs w:val="21"/>
                <w:lang w:bidi="zh-TW"/>
              </w:rPr>
              <w:t>针对投标人所提供的技术方案进行综合评审，方案包括但不限于： (1) 总体架构设计、  (2) 部署架构设计、  (3) 业务流程设计、 (4) 系统功能设计。</w:t>
            </w:r>
          </w:p>
          <w:p>
            <w:pPr>
              <w:pStyle w:val="16"/>
              <w:spacing w:line="240" w:lineRule="auto"/>
              <w:ind w:firstLine="0"/>
              <w:rPr>
                <w:sz w:val="21"/>
                <w:szCs w:val="21"/>
                <w:lang w:val="en-US" w:eastAsia="zh-CN"/>
              </w:rPr>
            </w:pPr>
            <w:r>
              <w:rPr>
                <w:sz w:val="21"/>
                <w:szCs w:val="21"/>
                <w:lang w:val="en-US" w:eastAsia="zh-CN"/>
              </w:rPr>
              <w:t xml:space="preserve">1 </w:t>
            </w:r>
            <w:r>
              <w:rPr>
                <w:rFonts w:hint="eastAsia"/>
                <w:sz w:val="21"/>
                <w:szCs w:val="21"/>
                <w:lang w:val="en-US" w:eastAsia="zh-CN"/>
              </w:rPr>
              <w:t>、方案完全满足招标需求，图文并茂、内容详实、设计合理、具</w:t>
            </w:r>
            <w:r>
              <w:rPr>
                <w:sz w:val="21"/>
                <w:szCs w:val="21"/>
                <w:lang w:val="en-US" w:eastAsia="zh-CN"/>
              </w:rPr>
              <w:t xml:space="preserve"> </w:t>
            </w:r>
            <w:r>
              <w:rPr>
                <w:rFonts w:hint="eastAsia"/>
                <w:sz w:val="21"/>
                <w:szCs w:val="21"/>
                <w:lang w:val="en-US" w:eastAsia="zh-CN"/>
              </w:rPr>
              <w:t>有前瞻性、完全符合并优于业务实际情况的，得</w:t>
            </w:r>
            <w:r>
              <w:rPr>
                <w:sz w:val="21"/>
                <w:szCs w:val="21"/>
                <w:lang w:val="en-US" w:eastAsia="zh-CN"/>
              </w:rPr>
              <w:t xml:space="preserve"> 6-8 </w:t>
            </w:r>
            <w:r>
              <w:rPr>
                <w:rFonts w:hint="eastAsia"/>
                <w:sz w:val="21"/>
                <w:szCs w:val="21"/>
                <w:lang w:val="en-US" w:eastAsia="zh-CN"/>
              </w:rPr>
              <w:t>分；</w:t>
            </w:r>
            <w:r>
              <w:rPr>
                <w:sz w:val="21"/>
                <w:szCs w:val="21"/>
                <w:lang w:val="en-US" w:eastAsia="zh-CN"/>
              </w:rPr>
              <w:t xml:space="preserve">            </w:t>
            </w:r>
          </w:p>
          <w:p>
            <w:pPr>
              <w:pStyle w:val="16"/>
              <w:spacing w:line="240" w:lineRule="auto"/>
              <w:ind w:firstLine="0"/>
              <w:rPr>
                <w:sz w:val="21"/>
                <w:szCs w:val="21"/>
                <w:lang w:val="en-US" w:eastAsia="zh-CN"/>
              </w:rPr>
            </w:pPr>
            <w:r>
              <w:rPr>
                <w:sz w:val="21"/>
                <w:szCs w:val="21"/>
                <w:lang w:val="en-US" w:eastAsia="zh-CN"/>
              </w:rPr>
              <w:t xml:space="preserve">2 </w:t>
            </w:r>
            <w:r>
              <w:rPr>
                <w:rFonts w:hint="eastAsia"/>
                <w:sz w:val="21"/>
                <w:szCs w:val="21"/>
                <w:lang w:val="en-US" w:eastAsia="zh-CN"/>
              </w:rPr>
              <w:t>、方案基本满足招标需求，内容较充分、设计基本合理、符合业</w:t>
            </w:r>
            <w:r>
              <w:rPr>
                <w:sz w:val="21"/>
                <w:szCs w:val="21"/>
                <w:lang w:val="en-US" w:eastAsia="zh-CN"/>
              </w:rPr>
              <w:t xml:space="preserve"> </w:t>
            </w:r>
            <w:r>
              <w:rPr>
                <w:rFonts w:hint="eastAsia"/>
                <w:sz w:val="21"/>
                <w:szCs w:val="21"/>
                <w:lang w:val="en-US" w:eastAsia="zh-CN"/>
              </w:rPr>
              <w:t>务实际情况但较之优秀者有差距的，得</w:t>
            </w:r>
            <w:r>
              <w:rPr>
                <w:sz w:val="21"/>
                <w:szCs w:val="21"/>
                <w:lang w:val="en-US" w:eastAsia="zh-CN"/>
              </w:rPr>
              <w:t xml:space="preserve"> 4-6 </w:t>
            </w:r>
            <w:r>
              <w:rPr>
                <w:rFonts w:hint="eastAsia"/>
                <w:sz w:val="21"/>
                <w:szCs w:val="21"/>
                <w:lang w:val="en-US" w:eastAsia="zh-CN"/>
              </w:rPr>
              <w:t>分；</w:t>
            </w:r>
            <w:r>
              <w:rPr>
                <w:sz w:val="21"/>
                <w:szCs w:val="21"/>
                <w:lang w:val="en-US" w:eastAsia="zh-CN"/>
              </w:rPr>
              <w:t xml:space="preserve">              </w:t>
            </w:r>
          </w:p>
          <w:p>
            <w:pPr>
              <w:pStyle w:val="16"/>
              <w:spacing w:line="240" w:lineRule="auto"/>
              <w:ind w:firstLine="0"/>
              <w:rPr>
                <w:sz w:val="21"/>
                <w:szCs w:val="21"/>
                <w:lang w:val="en-US" w:eastAsia="zh-CN"/>
              </w:rPr>
            </w:pPr>
            <w:r>
              <w:rPr>
                <w:sz w:val="21"/>
                <w:szCs w:val="21"/>
                <w:lang w:val="en-US" w:eastAsia="zh-CN"/>
              </w:rPr>
              <w:t xml:space="preserve">3 </w:t>
            </w:r>
            <w:r>
              <w:rPr>
                <w:rFonts w:hint="eastAsia"/>
                <w:sz w:val="21"/>
                <w:szCs w:val="21"/>
                <w:lang w:val="en-US" w:eastAsia="zh-CN"/>
              </w:rPr>
              <w:t>、方案基本满足招标需求，内容较充分、设计基本合理、基本满</w:t>
            </w:r>
            <w:r>
              <w:rPr>
                <w:sz w:val="21"/>
                <w:szCs w:val="21"/>
                <w:lang w:val="en-US" w:eastAsia="zh-CN"/>
              </w:rPr>
              <w:t xml:space="preserve"> </w:t>
            </w:r>
            <w:r>
              <w:rPr>
                <w:rFonts w:hint="eastAsia"/>
                <w:sz w:val="21"/>
                <w:szCs w:val="21"/>
                <w:lang w:val="en-US" w:eastAsia="zh-CN"/>
              </w:rPr>
              <w:t>足采购需求，得</w:t>
            </w:r>
            <w:r>
              <w:rPr>
                <w:sz w:val="21"/>
                <w:szCs w:val="21"/>
                <w:lang w:val="en-US" w:eastAsia="zh-CN"/>
              </w:rPr>
              <w:t xml:space="preserve"> 1-3 </w:t>
            </w:r>
            <w:r>
              <w:rPr>
                <w:rFonts w:hint="eastAsia"/>
                <w:sz w:val="21"/>
                <w:szCs w:val="21"/>
                <w:lang w:val="en-US" w:eastAsia="zh-CN"/>
              </w:rPr>
              <w:t>分；</w:t>
            </w:r>
            <w:r>
              <w:rPr>
                <w:sz w:val="21"/>
                <w:szCs w:val="21"/>
                <w:lang w:val="en-US" w:eastAsia="zh-CN"/>
              </w:rPr>
              <w:t xml:space="preserve">                                   </w:t>
            </w:r>
          </w:p>
          <w:p>
            <w:pPr>
              <w:pStyle w:val="16"/>
              <w:spacing w:line="240" w:lineRule="auto"/>
              <w:ind w:firstLine="0"/>
              <w:rPr>
                <w:sz w:val="21"/>
                <w:szCs w:val="21"/>
                <w:lang w:val="en-US" w:eastAsia="zh-CN"/>
              </w:rPr>
            </w:pPr>
            <w:r>
              <w:rPr>
                <w:sz w:val="21"/>
                <w:szCs w:val="21"/>
                <w:lang w:val="en-US" w:eastAsia="zh-CN"/>
              </w:rPr>
              <w:t xml:space="preserve">4 </w:t>
            </w:r>
            <w:r>
              <w:rPr>
                <w:rFonts w:hint="eastAsia"/>
                <w:sz w:val="21"/>
                <w:szCs w:val="21"/>
                <w:lang w:val="en-US" w:eastAsia="zh-CN"/>
              </w:rPr>
              <w:t>、方案内容不完整、设计不符合业务实际情况，不能满足建设需</w:t>
            </w:r>
            <w:r>
              <w:rPr>
                <w:sz w:val="21"/>
                <w:szCs w:val="21"/>
                <w:lang w:val="en-US" w:eastAsia="zh-CN"/>
              </w:rPr>
              <w:t xml:space="preserve"> </w:t>
            </w:r>
            <w:r>
              <w:rPr>
                <w:rFonts w:hint="eastAsia"/>
                <w:sz w:val="21"/>
                <w:szCs w:val="21"/>
                <w:lang w:val="en-US" w:eastAsia="zh-CN"/>
              </w:rPr>
              <w:t>求最低要求的，不得分。</w:t>
            </w:r>
          </w:p>
        </w:tc>
        <w:tc>
          <w:tcPr>
            <w:tcW w:w="1324" w:type="dxa"/>
            <w:vAlign w:val="center"/>
          </w:tcPr>
          <w:p>
            <w:pPr>
              <w:pStyle w:val="16"/>
              <w:spacing w:line="240" w:lineRule="auto"/>
              <w:ind w:firstLine="0"/>
              <w:jc w:val="center"/>
              <w:rPr>
                <w:sz w:val="21"/>
                <w:szCs w:val="21"/>
                <w:lang w:val="en-US" w:eastAsia="zh-CN"/>
              </w:rPr>
            </w:pPr>
            <w:r>
              <w:rPr>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实施方案</w:t>
            </w:r>
          </w:p>
        </w:tc>
        <w:tc>
          <w:tcPr>
            <w:tcW w:w="6694" w:type="dxa"/>
          </w:tcPr>
          <w:p>
            <w:pPr>
              <w:tabs>
                <w:tab w:val="left" w:pos="222"/>
              </w:tabs>
              <w:rPr>
                <w:rFonts w:ascii="宋体" w:hAnsi="宋体" w:eastAsia="宋体" w:cs="宋体"/>
                <w:szCs w:val="21"/>
                <w:lang w:bidi="zh-TW"/>
              </w:rPr>
            </w:pPr>
            <w:r>
              <w:rPr>
                <w:rFonts w:ascii="宋体" w:hAnsi="宋体" w:eastAsia="宋体" w:cs="宋体"/>
                <w:szCs w:val="21"/>
                <w:lang w:bidi="zh-TW"/>
              </w:rPr>
              <w:t xml:space="preserve">针对投标人所提供的实施方案进行综合评审，方案包括但不限于： </w:t>
            </w:r>
            <w:r>
              <w:rPr>
                <w:rFonts w:ascii="宋体" w:hAnsi="宋体" w:eastAsia="宋体" w:cs="宋体"/>
                <w:szCs w:val="21"/>
                <w:lang w:bidi="zh-TW"/>
              </w:rPr>
              <w:tab/>
            </w:r>
            <w:r>
              <w:rPr>
                <w:rFonts w:ascii="宋体" w:hAnsi="宋体" w:eastAsia="宋体" w:cs="宋体"/>
                <w:szCs w:val="21"/>
                <w:lang w:bidi="zh-TW"/>
              </w:rPr>
              <w:t xml:space="preserve">(1) 项目的规划管理、  (2) 项目建设进度和质量管理机制、  (3) 项目组织管理、  (4) 项目风险预测及应对。                   </w:t>
            </w:r>
          </w:p>
          <w:p>
            <w:pPr>
              <w:tabs>
                <w:tab w:val="left" w:pos="222"/>
              </w:tabs>
              <w:rPr>
                <w:rFonts w:ascii="宋体" w:hAnsi="宋体" w:eastAsia="宋体" w:cs="宋体"/>
                <w:szCs w:val="21"/>
                <w:lang w:bidi="zh-TW"/>
              </w:rPr>
            </w:pPr>
            <w:r>
              <w:rPr>
                <w:rFonts w:ascii="宋体" w:hAnsi="宋体" w:eastAsia="宋体" w:cs="宋体"/>
                <w:szCs w:val="21"/>
                <w:lang w:bidi="zh-TW"/>
              </w:rPr>
              <w:t xml:space="preserve">1、方案内容详实、科学合理，符合本行业特点，具备实施性的， 得 </w:t>
            </w:r>
            <w:r>
              <w:rPr>
                <w:rFonts w:hint="eastAsia" w:ascii="宋体" w:hAnsi="宋体" w:eastAsia="宋体" w:cs="宋体"/>
                <w:szCs w:val="21"/>
                <w:lang w:val="en-US" w:eastAsia="zh-CN" w:bidi="zh-TW"/>
              </w:rPr>
              <w:t>3-5</w:t>
            </w:r>
            <w:r>
              <w:rPr>
                <w:rFonts w:ascii="宋体" w:hAnsi="宋体" w:eastAsia="宋体" w:cs="宋体"/>
                <w:szCs w:val="21"/>
                <w:lang w:bidi="zh-TW"/>
              </w:rPr>
              <w:t xml:space="preserve"> 分。</w:t>
            </w:r>
          </w:p>
          <w:p>
            <w:pPr>
              <w:rPr>
                <w:rFonts w:ascii="宋体" w:hAnsi="宋体" w:eastAsia="宋体" w:cs="宋体"/>
                <w:spacing w:val="6"/>
                <w:sz w:val="20"/>
                <w:szCs w:val="20"/>
              </w:rPr>
            </w:pPr>
            <w:r>
              <w:rPr>
                <w:rFonts w:ascii="宋体" w:hAnsi="宋体" w:eastAsia="宋体" w:cs="宋体"/>
                <w:szCs w:val="21"/>
                <w:lang w:bidi="zh-TW"/>
              </w:rPr>
              <w:t>2、方案基本合理，具备一定的实施性，但较之优秀方案有差距的，得</w:t>
            </w:r>
            <w:r>
              <w:rPr>
                <w:rFonts w:hint="eastAsia" w:ascii="宋体" w:hAnsi="宋体" w:eastAsia="宋体" w:cs="宋体"/>
                <w:szCs w:val="21"/>
                <w:lang w:val="en-US" w:eastAsia="zh-CN" w:bidi="zh-TW"/>
              </w:rPr>
              <w:t>1-2</w:t>
            </w:r>
            <w:r>
              <w:rPr>
                <w:rFonts w:ascii="宋体" w:hAnsi="宋体" w:eastAsia="宋体" w:cs="宋体"/>
                <w:szCs w:val="21"/>
                <w:lang w:bidi="zh-TW"/>
              </w:rPr>
              <w:t xml:space="preserve"> 分。</w:t>
            </w:r>
          </w:p>
        </w:tc>
        <w:tc>
          <w:tcPr>
            <w:tcW w:w="1324"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系统平台功能</w:t>
            </w:r>
          </w:p>
        </w:tc>
        <w:tc>
          <w:tcPr>
            <w:tcW w:w="6694" w:type="dxa"/>
          </w:tcPr>
          <w:p>
            <w:pPr>
              <w:pStyle w:val="16"/>
              <w:spacing w:line="240" w:lineRule="auto"/>
              <w:ind w:firstLine="0"/>
              <w:rPr>
                <w:sz w:val="21"/>
                <w:szCs w:val="21"/>
                <w:lang w:val="en-US" w:eastAsia="zh-CN"/>
              </w:rPr>
            </w:pPr>
            <w:r>
              <w:rPr>
                <w:rFonts w:hint="eastAsia"/>
                <w:sz w:val="21"/>
                <w:szCs w:val="21"/>
                <w:lang w:val="en-US" w:eastAsia="zh-CN"/>
              </w:rPr>
              <w:t>功能需求满足情况（共25分。不能满足或需要额外定制开发的不得分）</w:t>
            </w:r>
          </w:p>
          <w:p>
            <w:pPr>
              <w:pStyle w:val="16"/>
              <w:numPr>
                <w:ilvl w:val="0"/>
                <w:numId w:val="1"/>
              </w:numPr>
              <w:spacing w:line="240" w:lineRule="auto"/>
              <w:jc w:val="both"/>
              <w:rPr>
                <w:sz w:val="21"/>
                <w:szCs w:val="21"/>
                <w:lang w:val="en-US" w:eastAsia="zh-CN"/>
              </w:rPr>
            </w:pPr>
            <w:r>
              <w:rPr>
                <w:sz w:val="21"/>
                <w:szCs w:val="21"/>
                <w:lang w:val="en-US" w:eastAsia="zh-CN"/>
              </w:rPr>
              <w:t>满足</w:t>
            </w:r>
            <w:r>
              <w:rPr>
                <w:rFonts w:hint="eastAsia"/>
                <w:sz w:val="21"/>
                <w:szCs w:val="21"/>
                <w:lang w:val="en-US" w:eastAsia="zh-CN"/>
              </w:rPr>
              <w:t xml:space="preserve">系统拓展性要求 </w:t>
            </w:r>
            <w:r>
              <w:rPr>
                <w:sz w:val="21"/>
                <w:szCs w:val="21"/>
                <w:lang w:val="en-US" w:eastAsia="zh-CN"/>
              </w:rPr>
              <w:t xml:space="preserve">                   得6分</w:t>
            </w:r>
          </w:p>
          <w:p>
            <w:pPr>
              <w:pStyle w:val="16"/>
              <w:numPr>
                <w:ilvl w:val="0"/>
                <w:numId w:val="1"/>
              </w:numPr>
              <w:spacing w:line="240" w:lineRule="auto"/>
              <w:jc w:val="both"/>
              <w:rPr>
                <w:sz w:val="21"/>
                <w:szCs w:val="21"/>
                <w:lang w:val="en-US" w:eastAsia="zh-CN"/>
              </w:rPr>
            </w:pPr>
            <w:r>
              <w:rPr>
                <w:sz w:val="21"/>
                <w:szCs w:val="21"/>
                <w:lang w:val="en-US" w:eastAsia="zh-CN"/>
              </w:rPr>
              <w:t>满足</w:t>
            </w:r>
            <w:r>
              <w:rPr>
                <w:rFonts w:hint="eastAsia"/>
                <w:sz w:val="21"/>
                <w:szCs w:val="21"/>
                <w:lang w:val="en-US" w:eastAsia="zh-CN"/>
              </w:rPr>
              <w:t xml:space="preserve">资产管控中心要求 </w:t>
            </w:r>
            <w:r>
              <w:rPr>
                <w:sz w:val="21"/>
                <w:szCs w:val="21"/>
                <w:lang w:val="en-US" w:eastAsia="zh-CN"/>
              </w:rPr>
              <w:t xml:space="preserve">                 得6分</w:t>
            </w:r>
            <w:r>
              <w:rPr>
                <w:rFonts w:hint="eastAsia"/>
                <w:sz w:val="21"/>
                <w:szCs w:val="21"/>
                <w:lang w:val="en-US" w:eastAsia="zh-CN"/>
              </w:rPr>
              <w:t xml:space="preserve"> </w:t>
            </w:r>
            <w:r>
              <w:rPr>
                <w:sz w:val="21"/>
                <w:szCs w:val="21"/>
                <w:lang w:val="en-US" w:eastAsia="zh-CN"/>
              </w:rPr>
              <w:t xml:space="preserve">     </w:t>
            </w:r>
          </w:p>
          <w:p>
            <w:pPr>
              <w:pStyle w:val="16"/>
              <w:numPr>
                <w:ilvl w:val="0"/>
                <w:numId w:val="1"/>
              </w:numPr>
              <w:spacing w:line="240" w:lineRule="auto"/>
              <w:jc w:val="both"/>
              <w:rPr>
                <w:sz w:val="21"/>
                <w:szCs w:val="21"/>
                <w:lang w:val="en-US" w:eastAsia="zh-CN"/>
              </w:rPr>
            </w:pPr>
            <w:r>
              <w:rPr>
                <w:sz w:val="21"/>
                <w:szCs w:val="21"/>
                <w:lang w:val="en-US" w:eastAsia="zh-CN"/>
              </w:rPr>
              <w:t>满足</w:t>
            </w:r>
            <w:r>
              <w:rPr>
                <w:rFonts w:hint="eastAsia"/>
                <w:sz w:val="21"/>
                <w:szCs w:val="21"/>
                <w:lang w:val="en-US" w:eastAsia="zh-CN"/>
              </w:rPr>
              <w:t xml:space="preserve">结算中心要求 </w:t>
            </w:r>
            <w:r>
              <w:rPr>
                <w:sz w:val="21"/>
                <w:szCs w:val="21"/>
                <w:lang w:val="en-US" w:eastAsia="zh-CN"/>
              </w:rPr>
              <w:t xml:space="preserve">                     得7分</w:t>
            </w:r>
          </w:p>
          <w:p>
            <w:pPr>
              <w:pStyle w:val="16"/>
              <w:numPr>
                <w:ilvl w:val="0"/>
                <w:numId w:val="1"/>
              </w:numPr>
              <w:spacing w:line="240" w:lineRule="auto"/>
              <w:jc w:val="both"/>
              <w:rPr>
                <w:sz w:val="21"/>
                <w:szCs w:val="21"/>
                <w:lang w:val="en-US" w:eastAsia="zh-CN"/>
              </w:rPr>
            </w:pPr>
            <w:r>
              <w:rPr>
                <w:sz w:val="21"/>
                <w:szCs w:val="21"/>
                <w:lang w:val="en-US" w:eastAsia="zh-CN"/>
              </w:rPr>
              <w:t>满足</w:t>
            </w:r>
            <w:r>
              <w:rPr>
                <w:rFonts w:hint="eastAsia"/>
                <w:sz w:val="21"/>
                <w:szCs w:val="21"/>
                <w:lang w:val="en-US" w:eastAsia="zh-CN"/>
              </w:rPr>
              <w:t>平台配套功能要求（A</w:t>
            </w:r>
            <w:r>
              <w:rPr>
                <w:sz w:val="21"/>
                <w:szCs w:val="21"/>
                <w:lang w:val="en-US" w:eastAsia="zh-CN"/>
              </w:rPr>
              <w:t>PP）</w:t>
            </w:r>
            <w:r>
              <w:rPr>
                <w:rFonts w:hint="eastAsia"/>
                <w:sz w:val="21"/>
                <w:szCs w:val="21"/>
                <w:lang w:val="en-US" w:eastAsia="zh-CN"/>
              </w:rPr>
              <w:t xml:space="preserve">） </w:t>
            </w:r>
            <w:r>
              <w:rPr>
                <w:sz w:val="21"/>
                <w:szCs w:val="21"/>
                <w:lang w:val="en-US" w:eastAsia="zh-CN"/>
              </w:rPr>
              <w:t xml:space="preserve">        得6分</w:t>
            </w:r>
          </w:p>
        </w:tc>
        <w:tc>
          <w:tcPr>
            <w:tcW w:w="1324"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项目团队配置</w:t>
            </w:r>
          </w:p>
        </w:tc>
        <w:tc>
          <w:tcPr>
            <w:tcW w:w="6694" w:type="dxa"/>
          </w:tcPr>
          <w:p>
            <w:pPr>
              <w:tabs>
                <w:tab w:val="left" w:pos="222"/>
              </w:tabs>
              <w:rPr>
                <w:szCs w:val="21"/>
              </w:rPr>
            </w:pPr>
            <w:r>
              <w:rPr>
                <w:rFonts w:hint="eastAsia" w:ascii="宋体" w:hAnsi="宋体" w:eastAsia="宋体" w:cs="宋体"/>
                <w:szCs w:val="21"/>
                <w:lang w:bidi="zh-TW"/>
              </w:rPr>
              <w:t>根据投标商提供的项目团队配置和实施周期方案的合理性进行综合评分（</w:t>
            </w:r>
            <w:r>
              <w:rPr>
                <w:rFonts w:ascii="宋体" w:hAnsi="宋体" w:eastAsia="宋体" w:cs="宋体"/>
                <w:szCs w:val="21"/>
                <w:lang w:bidi="zh-TW"/>
              </w:rPr>
              <w:t>0-10分）。</w:t>
            </w:r>
          </w:p>
          <w:p>
            <w:pPr>
              <w:tabs>
                <w:tab w:val="left" w:pos="222"/>
              </w:tabs>
              <w:rPr>
                <w:szCs w:val="21"/>
              </w:rPr>
            </w:pPr>
            <w:r>
              <w:rPr>
                <w:rFonts w:ascii="宋体" w:hAnsi="宋体" w:eastAsia="宋体" w:cs="宋体"/>
                <w:szCs w:val="21"/>
                <w:lang w:bidi="zh-TW"/>
              </w:rPr>
              <w:t>1、配置和周期方案，完全匹配采购人要求，且优于采购人需求或给予采购人合理可执行的优化方案，得8-10分。</w:t>
            </w:r>
          </w:p>
          <w:p>
            <w:pPr>
              <w:tabs>
                <w:tab w:val="left" w:pos="222"/>
              </w:tabs>
              <w:rPr>
                <w:szCs w:val="21"/>
              </w:rPr>
            </w:pPr>
            <w:r>
              <w:rPr>
                <w:rFonts w:ascii="宋体" w:hAnsi="宋体" w:eastAsia="宋体" w:cs="宋体"/>
                <w:szCs w:val="21"/>
                <w:lang w:bidi="zh-TW"/>
              </w:rPr>
              <w:t>2、配置和周期方案较好，大部分匹配采购人要求，得5-7分。</w:t>
            </w:r>
          </w:p>
          <w:p>
            <w:pPr>
              <w:tabs>
                <w:tab w:val="left" w:pos="222"/>
              </w:tabs>
              <w:rPr>
                <w:szCs w:val="21"/>
              </w:rPr>
            </w:pPr>
            <w:r>
              <w:rPr>
                <w:rFonts w:ascii="宋体" w:hAnsi="宋体" w:eastAsia="宋体" w:cs="宋体"/>
                <w:szCs w:val="21"/>
                <w:lang w:bidi="zh-TW"/>
              </w:rPr>
              <w:t>3、配置和周期方案一般，基本匹配采购人要求，得1-4分。</w:t>
            </w:r>
          </w:p>
          <w:p>
            <w:pPr>
              <w:tabs>
                <w:tab w:val="left" w:pos="222"/>
              </w:tabs>
              <w:rPr>
                <w:szCs w:val="21"/>
              </w:rPr>
            </w:pPr>
            <w:r>
              <w:rPr>
                <w:rFonts w:ascii="宋体" w:hAnsi="宋体" w:eastAsia="宋体" w:cs="宋体"/>
                <w:szCs w:val="21"/>
                <w:lang w:bidi="zh-TW"/>
              </w:rPr>
              <w:t>4、配置和周期方案无法满足要求，不得分。</w:t>
            </w:r>
          </w:p>
        </w:tc>
        <w:tc>
          <w:tcPr>
            <w:tcW w:w="1324"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1741"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公司资信与综合实力</w:t>
            </w:r>
          </w:p>
        </w:tc>
        <w:tc>
          <w:tcPr>
            <w:tcW w:w="6694" w:type="dxa"/>
          </w:tcPr>
          <w:p>
            <w:pPr>
              <w:pStyle w:val="16"/>
              <w:spacing w:line="240" w:lineRule="auto"/>
              <w:ind w:firstLine="0"/>
              <w:rPr>
                <w:sz w:val="21"/>
                <w:szCs w:val="21"/>
                <w:lang w:val="en-US" w:eastAsia="zh-CN"/>
              </w:rPr>
            </w:pPr>
            <w:r>
              <w:rPr>
                <w:rFonts w:hint="eastAsia"/>
                <w:sz w:val="21"/>
                <w:szCs w:val="21"/>
                <w:lang w:val="en-US" w:eastAsia="zh-CN"/>
              </w:rPr>
              <w:t>投标商资信情况评分：</w:t>
            </w:r>
          </w:p>
          <w:p>
            <w:pPr>
              <w:pStyle w:val="16"/>
              <w:spacing w:line="240" w:lineRule="auto"/>
              <w:ind w:firstLine="210" w:firstLineChars="100"/>
              <w:rPr>
                <w:sz w:val="21"/>
                <w:szCs w:val="21"/>
                <w:lang w:val="en-US" w:eastAsia="zh-CN"/>
              </w:rPr>
            </w:pPr>
            <w:r>
              <w:rPr>
                <w:rFonts w:hint="eastAsia"/>
                <w:sz w:val="21"/>
                <w:szCs w:val="21"/>
                <w:lang w:val="en-US" w:eastAsia="zh-CN"/>
              </w:rPr>
              <w:t>具备国家信息安全等级保护三级认证证书、高新技术企业证书、质量管理类体系认证、信息安全管理体系认证书、信息技术服务管理体系认证书、或其他体现供投标商实力的证书；</w:t>
            </w:r>
          </w:p>
        </w:tc>
        <w:tc>
          <w:tcPr>
            <w:tcW w:w="1324"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售后服务</w:t>
            </w:r>
          </w:p>
        </w:tc>
        <w:tc>
          <w:tcPr>
            <w:tcW w:w="6694" w:type="dxa"/>
          </w:tcPr>
          <w:p>
            <w:pPr>
              <w:pStyle w:val="16"/>
              <w:spacing w:line="240" w:lineRule="auto"/>
              <w:ind w:firstLine="0"/>
              <w:rPr>
                <w:sz w:val="21"/>
                <w:szCs w:val="21"/>
                <w:lang w:val="en-US" w:eastAsia="zh-CN"/>
              </w:rPr>
            </w:pPr>
            <w:r>
              <w:rPr>
                <w:rFonts w:hint="eastAsia"/>
                <w:sz w:val="21"/>
                <w:szCs w:val="21"/>
                <w:lang w:val="en-US" w:eastAsia="zh-CN"/>
              </w:rPr>
              <w:t>根据投标商提供的售后服务方案进行综合评分（响应速度，现场到达时间、额外的技术支持等）：</w:t>
            </w:r>
          </w:p>
          <w:p>
            <w:pPr>
              <w:pStyle w:val="16"/>
              <w:spacing w:line="240" w:lineRule="auto"/>
              <w:ind w:firstLine="0"/>
              <w:rPr>
                <w:sz w:val="21"/>
                <w:szCs w:val="21"/>
                <w:lang w:val="en-US" w:eastAsia="zh-CN"/>
              </w:rPr>
            </w:pPr>
            <w:r>
              <w:rPr>
                <w:rFonts w:hint="eastAsia"/>
                <w:sz w:val="21"/>
                <w:szCs w:val="21"/>
                <w:lang w:val="en-US" w:eastAsia="zh-CN"/>
              </w:rPr>
              <w:t>1、服务方案优秀，完全匹配采购人要求，且报价范围内提供有价值的额外服务，得5分。</w:t>
            </w:r>
          </w:p>
          <w:p>
            <w:pPr>
              <w:pStyle w:val="16"/>
              <w:spacing w:line="240" w:lineRule="auto"/>
              <w:ind w:firstLine="0"/>
              <w:rPr>
                <w:sz w:val="21"/>
                <w:szCs w:val="21"/>
                <w:lang w:val="en-US" w:eastAsia="zh-CN"/>
              </w:rPr>
            </w:pPr>
            <w:r>
              <w:rPr>
                <w:rFonts w:hint="eastAsia"/>
                <w:sz w:val="21"/>
                <w:szCs w:val="21"/>
                <w:lang w:val="en-US" w:eastAsia="zh-CN"/>
              </w:rPr>
              <w:t>2、服务方案较好，大部分匹配采购人要求，得3-4分。</w:t>
            </w:r>
          </w:p>
          <w:p>
            <w:pPr>
              <w:pStyle w:val="16"/>
              <w:spacing w:line="240" w:lineRule="auto"/>
              <w:ind w:firstLine="0"/>
              <w:rPr>
                <w:sz w:val="21"/>
                <w:szCs w:val="21"/>
                <w:lang w:val="en-US" w:eastAsia="zh-CN"/>
              </w:rPr>
            </w:pPr>
            <w:r>
              <w:rPr>
                <w:rFonts w:hint="eastAsia"/>
                <w:sz w:val="21"/>
                <w:szCs w:val="21"/>
                <w:lang w:val="en-US" w:eastAsia="zh-CN"/>
              </w:rPr>
              <w:t>3、服务方案一般，基本匹配采购人要求，得1-2分。</w:t>
            </w:r>
          </w:p>
          <w:p>
            <w:pPr>
              <w:pStyle w:val="16"/>
              <w:spacing w:line="240" w:lineRule="auto"/>
              <w:ind w:firstLine="0"/>
              <w:rPr>
                <w:sz w:val="21"/>
                <w:szCs w:val="21"/>
                <w:lang w:val="en-US" w:eastAsia="zh-CN"/>
              </w:rPr>
            </w:pPr>
            <w:r>
              <w:rPr>
                <w:rFonts w:hint="eastAsia"/>
                <w:sz w:val="21"/>
                <w:szCs w:val="21"/>
                <w:lang w:val="en-US" w:eastAsia="zh-CN"/>
              </w:rPr>
              <w:t>4、服务方案无法满足要求，不得分。</w:t>
            </w:r>
          </w:p>
        </w:tc>
        <w:tc>
          <w:tcPr>
            <w:tcW w:w="1324"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信誉</w:t>
            </w:r>
          </w:p>
        </w:tc>
        <w:tc>
          <w:tcPr>
            <w:tcW w:w="6694" w:type="dxa"/>
          </w:tcPr>
          <w:p>
            <w:pPr>
              <w:pStyle w:val="16"/>
              <w:spacing w:line="240" w:lineRule="auto"/>
              <w:ind w:firstLine="0"/>
              <w:rPr>
                <w:sz w:val="21"/>
                <w:szCs w:val="21"/>
                <w:lang w:val="en-US" w:eastAsia="zh-CN"/>
              </w:rPr>
            </w:pPr>
            <w:r>
              <w:rPr>
                <w:rFonts w:hint="eastAsia"/>
                <w:sz w:val="21"/>
                <w:szCs w:val="21"/>
                <w:lang w:val="en-US" w:eastAsia="zh-CN"/>
              </w:rPr>
              <w:t>1.投标人 未被宁国市公共资源交易监督管理部门记不良行为记录的，或 者投标人被宁国市公共资源交易监督管理部门记录并披露的不良行为 记录，但投标截止日不处于公 示 有效期内 (公示有效期 即限制行为 开始时间至限制行为结束时间)，得 2 分。</w:t>
            </w:r>
          </w:p>
          <w:p>
            <w:pPr>
              <w:pStyle w:val="16"/>
              <w:spacing w:line="240" w:lineRule="auto"/>
              <w:ind w:firstLine="0"/>
              <w:rPr>
                <w:sz w:val="21"/>
                <w:szCs w:val="21"/>
                <w:lang w:val="en-US" w:eastAsia="zh-CN"/>
              </w:rPr>
            </w:pPr>
            <w:r>
              <w:rPr>
                <w:rFonts w:hint="eastAsia"/>
                <w:sz w:val="21"/>
                <w:szCs w:val="21"/>
                <w:lang w:val="en-US" w:eastAsia="zh-CN"/>
              </w:rPr>
              <w:t>2.投标人被宁国市公共资源交易监督管理部门记录并披露的不良行为 记录，且投标截止日仍处于公示有效期内 (公示有效期即限制行为开始时间至限制行为结束时间)，得 0 分。</w:t>
            </w:r>
          </w:p>
        </w:tc>
        <w:tc>
          <w:tcPr>
            <w:tcW w:w="1324" w:type="dxa"/>
            <w:vAlign w:val="center"/>
          </w:tcPr>
          <w:p>
            <w:pPr>
              <w:pStyle w:val="16"/>
              <w:spacing w:line="240" w:lineRule="auto"/>
              <w:ind w:firstLine="0"/>
              <w:jc w:val="center"/>
              <w:rPr>
                <w:sz w:val="21"/>
                <w:szCs w:val="21"/>
                <w:lang w:val="en-US" w:eastAsia="zh-CN"/>
              </w:rPr>
            </w:pPr>
            <w:r>
              <w:rPr>
                <w:rFonts w:hint="eastAsia"/>
                <w:sz w:val="21"/>
                <w:szCs w:val="21"/>
                <w:lang w:val="en-US" w:eastAsia="zh-CN"/>
              </w:rPr>
              <w:t>2</w:t>
            </w:r>
          </w:p>
        </w:tc>
      </w:tr>
    </w:tbl>
    <w:p>
      <w:pPr>
        <w:pStyle w:val="14"/>
        <w:spacing w:before="156" w:beforeLines="50" w:after="156" w:afterLines="50" w:line="360" w:lineRule="auto"/>
        <w:jc w:val="both"/>
        <w:outlineLvl w:val="0"/>
        <w:rPr>
          <w:rFonts w:eastAsia="PMingLiU"/>
          <w:b/>
          <w:sz w:val="24"/>
          <w:szCs w:val="24"/>
        </w:rPr>
      </w:pPr>
      <w:r>
        <w:rPr>
          <w:rFonts w:hint="eastAsia"/>
          <w:b/>
          <w:sz w:val="24"/>
          <w:szCs w:val="24"/>
          <w:lang w:val="en-US" w:eastAsia="zh-CN" w:bidi="en-US"/>
        </w:rPr>
        <w:t>四</w:t>
      </w:r>
      <w:r>
        <w:rPr>
          <w:rFonts w:hint="eastAsia"/>
          <w:b/>
          <w:sz w:val="24"/>
          <w:szCs w:val="24"/>
        </w:rPr>
        <w:t>、投标须知</w:t>
      </w:r>
    </w:p>
    <w:p>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rPr>
        <w:t>报价截止时间：2023年</w:t>
      </w:r>
      <w:r>
        <w:rPr>
          <w:rFonts w:hint="eastAsia" w:ascii="宋体" w:hAnsi="宋体" w:eastAsia="宋体" w:cs="微软雅黑"/>
          <w:color w:val="030303"/>
          <w:shd w:val="clear" w:color="auto" w:fill="FFFFFF"/>
          <w:lang w:val="en-US" w:eastAsia="zh-CN"/>
        </w:rPr>
        <w:t>12</w:t>
      </w:r>
      <w:r>
        <w:rPr>
          <w:rFonts w:hint="eastAsia" w:ascii="宋体" w:hAnsi="宋体" w:eastAsia="宋体" w:cs="微软雅黑"/>
          <w:color w:val="030303"/>
          <w:shd w:val="clear" w:color="auto" w:fill="FFFFFF"/>
        </w:rPr>
        <w:t>月</w:t>
      </w:r>
      <w:r>
        <w:rPr>
          <w:rFonts w:hint="eastAsia" w:ascii="宋体" w:hAnsi="宋体" w:eastAsia="宋体" w:cs="微软雅黑"/>
          <w:color w:val="030303"/>
          <w:shd w:val="clear" w:color="auto" w:fill="FFFFFF"/>
          <w:lang w:val="en-US" w:eastAsia="zh-CN"/>
        </w:rPr>
        <w:t>06</w:t>
      </w:r>
      <w:r>
        <w:rPr>
          <w:rFonts w:hint="eastAsia" w:ascii="宋体" w:hAnsi="宋体" w:eastAsia="宋体" w:cs="微软雅黑"/>
          <w:color w:val="030303"/>
          <w:shd w:val="clear" w:color="auto" w:fill="FFFFFF"/>
        </w:rPr>
        <w:t>日</w:t>
      </w:r>
      <w:r>
        <w:rPr>
          <w:rFonts w:hint="eastAsia" w:ascii="宋体" w:hAnsi="宋体" w:eastAsia="宋体" w:cs="微软雅黑"/>
          <w:color w:val="030303"/>
          <w:shd w:val="clear" w:color="auto" w:fill="FFFFFF"/>
          <w:lang w:val="en-US" w:eastAsia="zh-CN"/>
        </w:rPr>
        <w:t>9：00时</w:t>
      </w:r>
      <w:r>
        <w:rPr>
          <w:rFonts w:hint="eastAsia" w:ascii="宋体" w:hAnsi="宋体" w:eastAsia="宋体" w:cs="微软雅黑"/>
          <w:color w:val="030303"/>
          <w:shd w:val="clear" w:color="auto" w:fill="FFFFFF"/>
        </w:rPr>
        <w:t xml:space="preserve">  （北京时间）</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投标地址：不见面开标方式，报价文件邮寄</w:t>
      </w:r>
      <w:r>
        <w:rPr>
          <w:rFonts w:hint="eastAsia" w:ascii="宋体" w:hAnsi="宋体" w:eastAsia="宋体" w:cs="微软雅黑"/>
          <w:color w:val="030303"/>
          <w:shd w:val="clear" w:color="auto" w:fill="FFFFFF"/>
          <w:lang w:eastAsia="zh-CN"/>
        </w:rPr>
        <w:t>宁国市永祥电力工程技术有限公司</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联系人：程先生，联系号码：15345639105。</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开标时间：2023年</w:t>
      </w:r>
      <w:r>
        <w:rPr>
          <w:rFonts w:hint="eastAsia" w:ascii="宋体" w:hAnsi="宋体" w:eastAsia="宋体" w:cs="微软雅黑"/>
          <w:color w:val="030303"/>
          <w:shd w:val="clear" w:color="auto" w:fill="FFFFFF"/>
          <w:lang w:val="en-US" w:eastAsia="zh-CN"/>
        </w:rPr>
        <w:t>12</w:t>
      </w:r>
      <w:r>
        <w:rPr>
          <w:rFonts w:hint="eastAsia" w:ascii="宋体" w:hAnsi="宋体" w:eastAsia="宋体" w:cs="微软雅黑"/>
          <w:color w:val="030303"/>
          <w:shd w:val="clear" w:color="auto" w:fill="FFFFFF"/>
        </w:rPr>
        <w:t>月</w:t>
      </w:r>
      <w:r>
        <w:rPr>
          <w:rFonts w:hint="eastAsia" w:ascii="宋体" w:hAnsi="宋体" w:eastAsia="宋体" w:cs="微软雅黑"/>
          <w:color w:val="030303"/>
          <w:shd w:val="clear" w:color="auto" w:fill="FFFFFF"/>
          <w:lang w:val="en-US" w:eastAsia="zh-CN"/>
        </w:rPr>
        <w:t>06</w:t>
      </w:r>
      <w:r>
        <w:rPr>
          <w:rFonts w:hint="eastAsia" w:ascii="宋体" w:hAnsi="宋体" w:eastAsia="宋体" w:cs="微软雅黑"/>
          <w:color w:val="030303"/>
          <w:shd w:val="clear" w:color="auto" w:fill="FFFFFF"/>
        </w:rPr>
        <w:t>日</w:t>
      </w:r>
      <w:r>
        <w:rPr>
          <w:rFonts w:hint="eastAsia" w:ascii="宋体" w:hAnsi="宋体" w:eastAsia="宋体" w:cs="微软雅黑"/>
          <w:color w:val="030303"/>
          <w:shd w:val="clear" w:color="auto" w:fill="FFFFFF"/>
          <w:lang w:val="en-US" w:eastAsia="zh-CN"/>
        </w:rPr>
        <w:t>9：00时</w:t>
      </w:r>
      <w:r>
        <w:rPr>
          <w:rFonts w:hint="eastAsia" w:ascii="宋体" w:hAnsi="宋体" w:eastAsia="宋体" w:cs="微软雅黑"/>
          <w:color w:val="030303"/>
          <w:shd w:val="clear" w:color="auto" w:fill="FFFFFF"/>
        </w:rPr>
        <w:t xml:space="preserve">   （北京时间）</w:t>
      </w:r>
    </w:p>
    <w:p>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rPr>
        <w:t>开标地址：</w:t>
      </w:r>
      <w:r>
        <w:rPr>
          <w:rFonts w:hint="eastAsia" w:ascii="宋体" w:hAnsi="宋体" w:eastAsia="宋体" w:cs="微软雅黑"/>
          <w:color w:val="030303"/>
          <w:shd w:val="clear" w:color="auto" w:fill="FFFFFF"/>
          <w:lang w:eastAsia="zh-CN"/>
        </w:rPr>
        <w:t>宁国市永祥电力工程技术有限公司</w:t>
      </w:r>
      <w:r>
        <w:rPr>
          <w:rFonts w:hint="eastAsia" w:ascii="宋体" w:hAnsi="宋体" w:eastAsia="宋体" w:cs="微软雅黑"/>
          <w:color w:val="030303"/>
          <w:shd w:val="clear" w:color="auto" w:fill="FFFFFF"/>
        </w:rPr>
        <w:t>二楼会议室</w:t>
      </w:r>
    </w:p>
    <w:p>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rPr>
        <w:t>投标保证金：无</w:t>
      </w:r>
      <w:bookmarkStart w:id="1" w:name="_GoBack"/>
      <w:bookmarkEnd w:id="1"/>
    </w:p>
    <w:p>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rPr>
        <w:t>公告期限：3个工作日</w:t>
      </w:r>
    </w:p>
    <w:p>
      <w:pPr>
        <w:pStyle w:val="14"/>
        <w:spacing w:before="156" w:beforeLines="50" w:after="156" w:afterLines="50" w:line="360" w:lineRule="auto"/>
        <w:jc w:val="both"/>
        <w:outlineLvl w:val="0"/>
        <w:rPr>
          <w:rFonts w:eastAsia="PMingLiU"/>
          <w:b/>
          <w:sz w:val="24"/>
          <w:szCs w:val="24"/>
        </w:rPr>
      </w:pPr>
      <w:r>
        <w:rPr>
          <w:rFonts w:hint="eastAsia"/>
          <w:b/>
          <w:sz w:val="24"/>
          <w:szCs w:val="24"/>
          <w:lang w:val="en-US" w:eastAsia="zh-CN" w:bidi="en-US"/>
        </w:rPr>
        <w:t>五</w:t>
      </w:r>
      <w:r>
        <w:rPr>
          <w:rFonts w:hint="eastAsia"/>
          <w:b/>
          <w:sz w:val="24"/>
          <w:szCs w:val="24"/>
        </w:rPr>
        <w:t>、其他事项</w:t>
      </w:r>
    </w:p>
    <w:p>
      <w:pPr>
        <w:pStyle w:val="7"/>
        <w:widowControl/>
        <w:spacing w:beforeAutospacing="0" w:afterAutospacing="0" w:line="360" w:lineRule="auto"/>
        <w:ind w:firstLine="480" w:firstLineChars="200"/>
        <w:rPr>
          <w:rFonts w:hint="eastAsia" w:ascii="宋体" w:hAnsi="宋体" w:eastAsia="宋体" w:cs="微软雅黑"/>
          <w:color w:val="030303"/>
          <w:shd w:val="clear" w:color="auto" w:fill="FFFFFF"/>
          <w:lang w:eastAsia="zh-CN"/>
        </w:rPr>
      </w:pPr>
      <w:r>
        <w:rPr>
          <w:rFonts w:hint="eastAsia" w:ascii="宋体" w:hAnsi="宋体" w:eastAsia="宋体" w:cs="微软雅黑"/>
          <w:color w:val="030303"/>
          <w:shd w:val="clear" w:color="auto" w:fill="FFFFFF"/>
        </w:rPr>
        <w:t>采购单位：</w:t>
      </w:r>
      <w:r>
        <w:rPr>
          <w:rFonts w:hint="eastAsia" w:ascii="宋体" w:hAnsi="宋体" w:eastAsia="宋体" w:cs="微软雅黑"/>
          <w:color w:val="030303"/>
          <w:shd w:val="clear" w:color="auto" w:fill="FFFFFF"/>
          <w:lang w:eastAsia="zh-CN"/>
        </w:rPr>
        <w:t>宁国市永祥电力工程技术有限公司</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地址：安徽省宁国市经济技术开发区宁阳西路45号。</w:t>
      </w:r>
    </w:p>
    <w:p>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rPr>
        <w:t>联系人：程先生</w:t>
      </w:r>
    </w:p>
    <w:p>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联系电话：15345639105</w:t>
      </w:r>
    </w:p>
    <w:p>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lang w:bidi="ar"/>
        </w:rPr>
        <w:t>封装要求：密封报价、封套上注明工程名称、报价单位。</w:t>
      </w:r>
    </w:p>
    <w:sectPr>
      <w:pgSz w:w="11906" w:h="16838"/>
      <w:pgMar w:top="1440" w:right="1134" w:bottom="1440"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CA2BE8"/>
    <w:multiLevelType w:val="multilevel"/>
    <w:tmpl w:val="2ECA2BE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mMzY0OTM0NjdlMmM5Y2ZlMGE0OGFlMmQ2OTMyOGIifQ=="/>
  </w:docVars>
  <w:rsids>
    <w:rsidRoot w:val="00867E6B"/>
    <w:rsid w:val="00072DA2"/>
    <w:rsid w:val="001A32AD"/>
    <w:rsid w:val="001A7FBD"/>
    <w:rsid w:val="00211281"/>
    <w:rsid w:val="00221E0A"/>
    <w:rsid w:val="00265A1A"/>
    <w:rsid w:val="002A02B0"/>
    <w:rsid w:val="00600486"/>
    <w:rsid w:val="007D3C4C"/>
    <w:rsid w:val="007F672D"/>
    <w:rsid w:val="00867E6B"/>
    <w:rsid w:val="009002C1"/>
    <w:rsid w:val="00B7618E"/>
    <w:rsid w:val="00BA11C0"/>
    <w:rsid w:val="00F707BC"/>
    <w:rsid w:val="00FD6CBD"/>
    <w:rsid w:val="01FF0067"/>
    <w:rsid w:val="04A03468"/>
    <w:rsid w:val="06A66759"/>
    <w:rsid w:val="073B3E22"/>
    <w:rsid w:val="07FE023A"/>
    <w:rsid w:val="084A7A37"/>
    <w:rsid w:val="09CC1067"/>
    <w:rsid w:val="0BEA7692"/>
    <w:rsid w:val="10100615"/>
    <w:rsid w:val="1132256D"/>
    <w:rsid w:val="120F349C"/>
    <w:rsid w:val="12213BC1"/>
    <w:rsid w:val="12505D75"/>
    <w:rsid w:val="138F1E18"/>
    <w:rsid w:val="13CC585E"/>
    <w:rsid w:val="148144E5"/>
    <w:rsid w:val="15353F92"/>
    <w:rsid w:val="15AE29F1"/>
    <w:rsid w:val="175C2ADD"/>
    <w:rsid w:val="1887651D"/>
    <w:rsid w:val="1C4E77C9"/>
    <w:rsid w:val="1F7B34EE"/>
    <w:rsid w:val="1F903C55"/>
    <w:rsid w:val="20A64B98"/>
    <w:rsid w:val="225361F3"/>
    <w:rsid w:val="246E70EA"/>
    <w:rsid w:val="247016DD"/>
    <w:rsid w:val="2802590C"/>
    <w:rsid w:val="2A7864E6"/>
    <w:rsid w:val="2BA1664E"/>
    <w:rsid w:val="2BE47047"/>
    <w:rsid w:val="2BF3492A"/>
    <w:rsid w:val="2CFF241A"/>
    <w:rsid w:val="2E81758A"/>
    <w:rsid w:val="2EB84F76"/>
    <w:rsid w:val="2F1C430B"/>
    <w:rsid w:val="2FB43990"/>
    <w:rsid w:val="2FC71915"/>
    <w:rsid w:val="32A73338"/>
    <w:rsid w:val="35006613"/>
    <w:rsid w:val="35DB4DAD"/>
    <w:rsid w:val="36692D74"/>
    <w:rsid w:val="38632E63"/>
    <w:rsid w:val="38837BD6"/>
    <w:rsid w:val="388561D2"/>
    <w:rsid w:val="3A6A5A19"/>
    <w:rsid w:val="3B2740D4"/>
    <w:rsid w:val="3BD91C3E"/>
    <w:rsid w:val="3DC14895"/>
    <w:rsid w:val="3DEE3F0D"/>
    <w:rsid w:val="427D5E63"/>
    <w:rsid w:val="42A70AE7"/>
    <w:rsid w:val="4402246F"/>
    <w:rsid w:val="4421792F"/>
    <w:rsid w:val="45631742"/>
    <w:rsid w:val="45954AD7"/>
    <w:rsid w:val="4690117F"/>
    <w:rsid w:val="46C4144B"/>
    <w:rsid w:val="46CB4360"/>
    <w:rsid w:val="489F2FD7"/>
    <w:rsid w:val="49B70352"/>
    <w:rsid w:val="49E37578"/>
    <w:rsid w:val="4A541873"/>
    <w:rsid w:val="4A881849"/>
    <w:rsid w:val="4AFD531A"/>
    <w:rsid w:val="4B3F0250"/>
    <w:rsid w:val="4B542EC5"/>
    <w:rsid w:val="4BFC24EE"/>
    <w:rsid w:val="4C4332C5"/>
    <w:rsid w:val="4DC00191"/>
    <w:rsid w:val="4DFA3302"/>
    <w:rsid w:val="4E0F6509"/>
    <w:rsid w:val="4EC11DD8"/>
    <w:rsid w:val="509B1125"/>
    <w:rsid w:val="50E80B8D"/>
    <w:rsid w:val="51E41A5B"/>
    <w:rsid w:val="524208E9"/>
    <w:rsid w:val="52B07B8F"/>
    <w:rsid w:val="5483092A"/>
    <w:rsid w:val="549A0ADA"/>
    <w:rsid w:val="54F475A7"/>
    <w:rsid w:val="553255F1"/>
    <w:rsid w:val="5583158B"/>
    <w:rsid w:val="56482B38"/>
    <w:rsid w:val="569864A3"/>
    <w:rsid w:val="56C046D5"/>
    <w:rsid w:val="57BA5F6E"/>
    <w:rsid w:val="57E92C63"/>
    <w:rsid w:val="5881534E"/>
    <w:rsid w:val="59390302"/>
    <w:rsid w:val="5A6F20DD"/>
    <w:rsid w:val="5AC54EB8"/>
    <w:rsid w:val="5EDF14EB"/>
    <w:rsid w:val="5FC20D03"/>
    <w:rsid w:val="5FC86590"/>
    <w:rsid w:val="60A415A2"/>
    <w:rsid w:val="60E66B25"/>
    <w:rsid w:val="621974FF"/>
    <w:rsid w:val="621F2A50"/>
    <w:rsid w:val="66AC1B17"/>
    <w:rsid w:val="6773145F"/>
    <w:rsid w:val="67DE600F"/>
    <w:rsid w:val="691A3D0A"/>
    <w:rsid w:val="69766A93"/>
    <w:rsid w:val="6BCB6558"/>
    <w:rsid w:val="6BEC5A60"/>
    <w:rsid w:val="6F6650DA"/>
    <w:rsid w:val="70114BFF"/>
    <w:rsid w:val="71084F24"/>
    <w:rsid w:val="7386522E"/>
    <w:rsid w:val="7420471D"/>
    <w:rsid w:val="767A01EF"/>
    <w:rsid w:val="76D90BB3"/>
    <w:rsid w:val="774D706D"/>
    <w:rsid w:val="785E4EF1"/>
    <w:rsid w:val="78B00E0E"/>
    <w:rsid w:val="78D635FC"/>
    <w:rsid w:val="7B302DD0"/>
    <w:rsid w:val="7B743FFF"/>
    <w:rsid w:val="7C8970C7"/>
    <w:rsid w:val="7E486634"/>
    <w:rsid w:val="7F551D9E"/>
    <w:rsid w:val="7FCD5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paragraph" w:styleId="3">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utoSpaceDE w:val="0"/>
      <w:autoSpaceDN w:val="0"/>
      <w:adjustRightInd w:val="0"/>
      <w:ind w:firstLine="420"/>
      <w:jc w:val="left"/>
    </w:pPr>
    <w:rPr>
      <w:rFonts w:ascii="宋体" w:hAnsi="Times New Roman" w:eastAsia="Times New Roman" w:cs="Times New Roman"/>
      <w:color w:val="000000"/>
      <w:kern w:val="0"/>
      <w:sz w:val="24"/>
      <w:szCs w:val="20"/>
      <w:lang w:eastAsia="en-US" w:bidi="en-US"/>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6"/>
    <w:qFormat/>
    <w:uiPriority w:val="0"/>
    <w:rPr>
      <w:rFonts w:asciiTheme="minorHAnsi" w:hAnsiTheme="minorHAnsi" w:eastAsiaTheme="minorEastAsia" w:cstheme="minorBidi"/>
      <w:kern w:val="2"/>
      <w:sz w:val="18"/>
      <w:szCs w:val="18"/>
    </w:rPr>
  </w:style>
  <w:style w:type="character" w:customStyle="1" w:styleId="12">
    <w:name w:val="页脚 Char"/>
    <w:basedOn w:val="10"/>
    <w:link w:val="5"/>
    <w:qFormat/>
    <w:uiPriority w:val="0"/>
    <w:rPr>
      <w:rFonts w:asciiTheme="minorHAnsi" w:hAnsiTheme="minorHAnsi" w:eastAsiaTheme="minorEastAsia" w:cstheme="minorBidi"/>
      <w:kern w:val="2"/>
      <w:sz w:val="18"/>
      <w:szCs w:val="18"/>
    </w:rPr>
  </w:style>
  <w:style w:type="character" w:customStyle="1" w:styleId="13">
    <w:name w:val="Body text|3_"/>
    <w:basedOn w:val="10"/>
    <w:link w:val="14"/>
    <w:qFormat/>
    <w:uiPriority w:val="0"/>
    <w:rPr>
      <w:rFonts w:ascii="宋体" w:hAnsi="宋体" w:cs="宋体"/>
      <w:sz w:val="30"/>
      <w:szCs w:val="30"/>
      <w:lang w:val="zh-TW" w:eastAsia="zh-TW" w:bidi="zh-TW"/>
    </w:rPr>
  </w:style>
  <w:style w:type="paragraph" w:customStyle="1" w:styleId="14">
    <w:name w:val="Body text|3"/>
    <w:basedOn w:val="1"/>
    <w:link w:val="13"/>
    <w:qFormat/>
    <w:uiPriority w:val="0"/>
    <w:pPr>
      <w:jc w:val="left"/>
    </w:pPr>
    <w:rPr>
      <w:rFonts w:ascii="宋体" w:hAnsi="宋体" w:eastAsia="宋体" w:cs="宋体"/>
      <w:kern w:val="0"/>
      <w:sz w:val="30"/>
      <w:szCs w:val="30"/>
      <w:lang w:val="zh-TW" w:eastAsia="zh-TW" w:bidi="zh-TW"/>
    </w:rPr>
  </w:style>
  <w:style w:type="character" w:customStyle="1" w:styleId="15">
    <w:name w:val="Other|1_"/>
    <w:basedOn w:val="10"/>
    <w:link w:val="16"/>
    <w:qFormat/>
    <w:uiPriority w:val="0"/>
    <w:rPr>
      <w:rFonts w:ascii="宋体" w:hAnsi="宋体" w:cs="宋体"/>
      <w:lang w:val="zh-TW" w:eastAsia="zh-TW" w:bidi="zh-TW"/>
    </w:rPr>
  </w:style>
  <w:style w:type="paragraph" w:customStyle="1" w:styleId="16">
    <w:name w:val="Other|1"/>
    <w:basedOn w:val="1"/>
    <w:link w:val="15"/>
    <w:qFormat/>
    <w:uiPriority w:val="0"/>
    <w:pPr>
      <w:spacing w:line="480" w:lineRule="auto"/>
      <w:ind w:firstLine="400"/>
      <w:jc w:val="left"/>
    </w:pPr>
    <w:rPr>
      <w:rFonts w:ascii="宋体" w:hAnsi="宋体" w:eastAsia="宋体" w:cs="宋体"/>
      <w:kern w:val="0"/>
      <w:sz w:val="20"/>
      <w:szCs w:val="20"/>
      <w:lang w:val="zh-TW" w:eastAsia="zh-TW" w:bidi="zh-TW"/>
    </w:rPr>
  </w:style>
  <w:style w:type="paragraph" w:customStyle="1" w:styleId="17">
    <w:name w:val="列表段落1"/>
    <w:basedOn w:val="1"/>
    <w:qFormat/>
    <w:uiPriority w:val="34"/>
    <w:pPr>
      <w:ind w:firstLine="420" w:firstLineChars="200"/>
      <w:jc w:val="left"/>
    </w:pPr>
    <w:rPr>
      <w:rFonts w:ascii="Times New Roman" w:hAnsi="Times New Roman" w:eastAsia="Times New Roman" w:cs="Times New Roman"/>
      <w:color w:val="000000"/>
      <w:kern w:val="0"/>
      <w:sz w:val="24"/>
      <w:lang w:eastAsia="en-US" w:bidi="en-US"/>
    </w:rPr>
  </w:style>
  <w:style w:type="character" w:customStyle="1" w:styleId="18">
    <w:name w:val="Body text|1_"/>
    <w:basedOn w:val="10"/>
    <w:link w:val="19"/>
    <w:qFormat/>
    <w:uiPriority w:val="0"/>
    <w:rPr>
      <w:rFonts w:ascii="宋体" w:hAnsi="宋体" w:cs="宋体"/>
      <w:lang w:val="zh-TW" w:eastAsia="zh-TW" w:bidi="zh-TW"/>
    </w:rPr>
  </w:style>
  <w:style w:type="paragraph" w:customStyle="1" w:styleId="19">
    <w:name w:val="Body text|1"/>
    <w:basedOn w:val="1"/>
    <w:link w:val="18"/>
    <w:qFormat/>
    <w:uiPriority w:val="0"/>
    <w:pPr>
      <w:spacing w:line="480" w:lineRule="auto"/>
      <w:ind w:firstLine="400"/>
      <w:jc w:val="left"/>
    </w:pPr>
    <w:rPr>
      <w:rFonts w:ascii="宋体" w:hAnsi="宋体" w:eastAsia="宋体" w:cs="宋体"/>
      <w:kern w:val="0"/>
      <w:sz w:val="20"/>
      <w:szCs w:val="20"/>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479</Words>
  <Characters>2736</Characters>
  <Lines>22</Lines>
  <Paragraphs>6</Paragraphs>
  <TotalTime>0</TotalTime>
  <ScaleCrop>false</ScaleCrop>
  <LinksUpToDate>false</LinksUpToDate>
  <CharactersWithSpaces>3209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2022-04-16T00:08:00Z</dcterms:created>
  <dc:creator>Administrator</dc:creator>
  <cp:lastModifiedBy>♥wenwen</cp:lastModifiedBy>
  <dcterms:modified xsi:type="dcterms:W3CDTF">2023-11-28T08:29:07Z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B6CBC8B564634D45BA5AA1E588E82DBA_13</vt:lpwstr>
  </property>
</Properties>
</file>